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20" w:after="80"/>
      </w:pPr>
      <w:r>
        <w:rPr>
          <w:rFonts w:ascii="Arial" w:hAnsi="Arial"/>
          <w:b/>
          <w:i w:val="0"/>
          <w:color w:val="132238"/>
          <w:sz w:val="56"/>
        </w:rPr>
        <w:t>EMPLOYEE MONITORING POLICY</w:t>
      </w:r>
    </w:p>
    <w:p>
      <w:pPr>
        <w:spacing w:after="360"/>
      </w:pPr>
      <w:r>
        <w:rPr>
          <w:rFonts w:ascii="Arial" w:hAnsi="Arial"/>
          <w:b/>
          <w:i w:val="0"/>
          <w:color w:val="2374E7"/>
          <w:sz w:val="28"/>
        </w:rPr>
        <w:t>Editable transparent-monitoring template</w:t>
      </w:r>
    </w:p>
    <w:tbl>
      <w:tblPr>
        <w:tblStyle w:val="TableGrid"/>
        <w:tblW w:type="dxa" w:w="9360"/>
        <w:tblLayout w:type="fixed"/>
        <w:tblLook w:firstColumn="1" w:firstRow="1" w:lastColumn="0" w:lastRow="0" w:noHBand="0" w:noVBand="1" w:val="04A0"/>
        <w:tblInd w:w="120" w:type="dxa"/>
      </w:tblPr>
      <w:tblGrid>
        <w:gridCol w:w="9360"/>
      </w:tblGrid>
      <w:tr>
        <w:tc>
          <w:tcPr>
            <w:tcW w:type="dxa" w:w="9360"/>
            <w:shd w:fill="FFF4D6"/>
          </w:tcPr>
          <w:p>
            <w:pPr>
              <w:spacing w:after="60"/>
            </w:pPr>
            <w:r>
              <w:rPr>
                <w:rFonts w:ascii="Arial" w:hAnsi="Arial"/>
                <w:b/>
                <w:i w:val="0"/>
                <w:color w:val="132238"/>
                <w:sz w:val="22"/>
              </w:rPr>
              <w:t>IMPORTANT - LEGAL REVIEW REQUIRED</w:t>
            </w:r>
          </w:p>
          <w:p>
            <w:pPr>
              <w:spacing w:after="0"/>
            </w:pPr>
            <w:r>
              <w:rPr>
                <w:rFonts w:ascii="Arial" w:hAnsi="Arial"/>
                <w:b w:val="0"/>
                <w:i w:val="0"/>
                <w:color w:val="132238"/>
                <w:sz w:val="19"/>
              </w:rPr>
              <w:t>This template provides general information and is not legal advice. Monitoring laws differ by country, state, industry, workforce and technology. Notice, consultation, consent, a lawful basis, union or works-council involvement, a data protection impact assessment, or other safeguards may be required. Have qualified privacy and employment counsel adapt this document to every location in which workers operate.</w:t>
            </w:r>
          </w:p>
        </w:tc>
      </w:tr>
    </w:tbl>
    <w:p/>
    <w:tbl>
      <w:tblPr>
        <w:tblStyle w:val="TableGrid"/>
        <w:tblW w:type="dxa" w:w="9360"/>
        <w:jc w:val="left"/>
        <w:tblLayout w:type="fixed"/>
        <w:tblLook w:firstColumn="1" w:firstRow="1" w:lastColumn="0" w:lastRow="0" w:noHBand="0" w:noVBand="1" w:val="04A0"/>
        <w:tblInd w:w="120" w:type="dxa"/>
      </w:tblPr>
      <w:tblGrid>
        <w:gridCol w:w="2700"/>
        <w:gridCol w:w="6660"/>
      </w:tblGrid>
      <w:tr>
        <w:tc>
          <w:tcPr>
            <w:tcW w:type="dxa" w:w="2700"/>
            <w:vAlign w:val="center"/>
            <w:shd w:fill="EEF5FF"/>
          </w:tcPr>
          <w:p>
            <w:pPr>
              <w:spacing w:after="0"/>
            </w:pPr>
            <w:r>
              <w:rPr>
                <w:rFonts w:ascii="Arial" w:hAnsi="Arial"/>
                <w:b/>
                <w:i w:val="0"/>
                <w:color w:val="145CC4"/>
                <w:sz w:val="22"/>
              </w:rPr>
              <w:t>Organisation</w:t>
            </w:r>
          </w:p>
        </w:tc>
        <w:tc>
          <w:tcPr>
            <w:tcW w:type="dxa" w:w="6660"/>
            <w:vAlign w:val="center"/>
          </w:tcPr>
          <w:p>
            <w:pPr>
              <w:spacing w:after="0"/>
            </w:pPr>
            <w:r>
              <w:rPr>
                <w:rFonts w:ascii="Arial" w:hAnsi="Arial"/>
                <w:b w:val="0"/>
                <w:i w:val="0"/>
                <w:color w:val="56657A"/>
                <w:sz w:val="22"/>
              </w:rPr>
              <w:t>[Full legal name]</w:t>
            </w:r>
          </w:p>
        </w:tc>
      </w:tr>
      <w:tr>
        <w:tc>
          <w:tcPr>
            <w:tcW w:type="dxa" w:w="2700"/>
            <w:vAlign w:val="center"/>
            <w:shd w:fill="EEF5FF"/>
          </w:tcPr>
          <w:p>
            <w:pPr>
              <w:spacing w:after="0"/>
            </w:pPr>
            <w:r>
              <w:rPr>
                <w:rFonts w:ascii="Arial" w:hAnsi="Arial"/>
                <w:b/>
                <w:i w:val="0"/>
                <w:color w:val="145CC4"/>
                <w:sz w:val="22"/>
              </w:rPr>
              <w:t>Policy owner</w:t>
            </w:r>
          </w:p>
        </w:tc>
        <w:tc>
          <w:tcPr>
            <w:tcW w:type="dxa" w:w="6660"/>
            <w:vAlign w:val="center"/>
          </w:tcPr>
          <w:p>
            <w:pPr>
              <w:spacing w:after="0"/>
            </w:pPr>
            <w:r>
              <w:rPr>
                <w:rFonts w:ascii="Arial" w:hAnsi="Arial"/>
                <w:b w:val="0"/>
                <w:i w:val="0"/>
                <w:color w:val="56657A"/>
                <w:sz w:val="22"/>
              </w:rPr>
              <w:t>[HR / Privacy / Legal / Information Security role]</w:t>
            </w:r>
          </w:p>
        </w:tc>
      </w:tr>
      <w:tr>
        <w:tc>
          <w:tcPr>
            <w:tcW w:type="dxa" w:w="2700"/>
            <w:vAlign w:val="center"/>
            <w:shd w:fill="EEF5FF"/>
          </w:tcPr>
          <w:p>
            <w:pPr>
              <w:spacing w:after="0"/>
            </w:pPr>
            <w:r>
              <w:rPr>
                <w:rFonts w:ascii="Arial" w:hAnsi="Arial"/>
                <w:b/>
                <w:i w:val="0"/>
                <w:color w:val="145CC4"/>
                <w:sz w:val="22"/>
              </w:rPr>
              <w:t>Version</w:t>
            </w:r>
          </w:p>
        </w:tc>
        <w:tc>
          <w:tcPr>
            <w:tcW w:type="dxa" w:w="6660"/>
            <w:vAlign w:val="center"/>
          </w:tcPr>
          <w:p>
            <w:pPr>
              <w:spacing w:after="0"/>
            </w:pPr>
            <w:r>
              <w:rPr>
                <w:rFonts w:ascii="Arial" w:hAnsi="Arial"/>
                <w:b w:val="0"/>
                <w:i w:val="0"/>
                <w:color w:val="56657A"/>
                <w:sz w:val="22"/>
              </w:rPr>
              <w:t>[1.0]</w:t>
            </w:r>
          </w:p>
        </w:tc>
      </w:tr>
      <w:tr>
        <w:tc>
          <w:tcPr>
            <w:tcW w:type="dxa" w:w="2700"/>
            <w:vAlign w:val="center"/>
            <w:shd w:fill="EEF5FF"/>
          </w:tcPr>
          <w:p>
            <w:pPr>
              <w:spacing w:after="0"/>
            </w:pPr>
            <w:r>
              <w:rPr>
                <w:rFonts w:ascii="Arial" w:hAnsi="Arial"/>
                <w:b/>
                <w:i w:val="0"/>
                <w:color w:val="145CC4"/>
                <w:sz w:val="22"/>
              </w:rPr>
              <w:t>Approved by</w:t>
            </w:r>
          </w:p>
        </w:tc>
        <w:tc>
          <w:tcPr>
            <w:tcW w:type="dxa" w:w="6660"/>
            <w:vAlign w:val="center"/>
          </w:tcPr>
          <w:p>
            <w:pPr>
              <w:spacing w:after="0"/>
            </w:pPr>
            <w:r>
              <w:rPr>
                <w:rFonts w:ascii="Arial" w:hAnsi="Arial"/>
                <w:b w:val="0"/>
                <w:i w:val="0"/>
                <w:color w:val="56657A"/>
                <w:sz w:val="22"/>
              </w:rPr>
              <w:t>[Name and role]</w:t>
            </w:r>
          </w:p>
        </w:tc>
      </w:tr>
      <w:tr>
        <w:tc>
          <w:tcPr>
            <w:tcW w:type="dxa" w:w="2700"/>
            <w:vAlign w:val="center"/>
            <w:shd w:fill="EEF5FF"/>
          </w:tcPr>
          <w:p>
            <w:pPr>
              <w:spacing w:after="0"/>
            </w:pPr>
            <w:r>
              <w:rPr>
                <w:rFonts w:ascii="Arial" w:hAnsi="Arial"/>
                <w:b/>
                <w:i w:val="0"/>
                <w:color w:val="145CC4"/>
                <w:sz w:val="22"/>
              </w:rPr>
              <w:t>Effective date</w:t>
            </w:r>
          </w:p>
        </w:tc>
        <w:tc>
          <w:tcPr>
            <w:tcW w:type="dxa" w:w="6660"/>
            <w:vAlign w:val="center"/>
          </w:tcPr>
          <w:p>
            <w:pPr>
              <w:spacing w:after="0"/>
            </w:pPr>
            <w:r>
              <w:rPr>
                <w:rFonts w:ascii="Arial" w:hAnsi="Arial"/>
                <w:b w:val="0"/>
                <w:i w:val="0"/>
                <w:color w:val="56657A"/>
                <w:sz w:val="22"/>
              </w:rPr>
              <w:t>[DD Month YYYY]</w:t>
            </w:r>
          </w:p>
        </w:tc>
      </w:tr>
      <w:tr>
        <w:tc>
          <w:tcPr>
            <w:tcW w:type="dxa" w:w="2700"/>
            <w:vAlign w:val="center"/>
            <w:shd w:fill="EEF5FF"/>
          </w:tcPr>
          <w:p>
            <w:pPr>
              <w:spacing w:after="0"/>
            </w:pPr>
            <w:r>
              <w:rPr>
                <w:rFonts w:ascii="Arial" w:hAnsi="Arial"/>
                <w:b/>
                <w:i w:val="0"/>
                <w:color w:val="145CC4"/>
                <w:sz w:val="22"/>
              </w:rPr>
              <w:t>Next review date</w:t>
            </w:r>
          </w:p>
        </w:tc>
        <w:tc>
          <w:tcPr>
            <w:tcW w:type="dxa" w:w="6660"/>
            <w:vAlign w:val="center"/>
          </w:tcPr>
          <w:p>
            <w:pPr>
              <w:spacing w:after="0"/>
            </w:pPr>
            <w:r>
              <w:rPr>
                <w:rFonts w:ascii="Arial" w:hAnsi="Arial"/>
                <w:b w:val="0"/>
                <w:i w:val="0"/>
                <w:color w:val="56657A"/>
                <w:sz w:val="22"/>
              </w:rPr>
              <w:t>[DD Month YYYY]</w:t>
            </w:r>
          </w:p>
        </w:tc>
      </w:tr>
      <w:tr>
        <w:tc>
          <w:tcPr>
            <w:tcW w:type="dxa" w:w="2700"/>
            <w:vAlign w:val="center"/>
            <w:shd w:fill="EEF5FF"/>
          </w:tcPr>
          <w:p>
            <w:pPr>
              <w:spacing w:after="0"/>
            </w:pPr>
            <w:r>
              <w:rPr>
                <w:rFonts w:ascii="Arial" w:hAnsi="Arial"/>
                <w:b/>
                <w:i w:val="0"/>
                <w:color w:val="145CC4"/>
                <w:sz w:val="22"/>
              </w:rPr>
              <w:t>Countries/regions covered</w:t>
            </w:r>
          </w:p>
        </w:tc>
        <w:tc>
          <w:tcPr>
            <w:tcW w:type="dxa" w:w="6660"/>
            <w:vAlign w:val="center"/>
          </w:tcPr>
          <w:p>
            <w:pPr>
              <w:spacing w:after="0"/>
            </w:pPr>
            <w:r>
              <w:rPr>
                <w:rFonts w:ascii="Arial" w:hAnsi="Arial"/>
                <w:b w:val="0"/>
                <w:i w:val="0"/>
                <w:color w:val="56657A"/>
                <w:sz w:val="22"/>
              </w:rPr>
              <w:t>[List every worker location covered by this version]</w:t>
            </w:r>
          </w:p>
        </w:tc>
      </w:tr>
    </w:tbl>
    <w:p>
      <w:pPr>
        <w:spacing w:after="0"/>
      </w:pPr>
    </w:p>
    <w:p>
      <w:pPr>
        <w:pStyle w:val="Heading1"/>
        <w:keepNext/>
        <w:spacing w:before="360" w:after="160"/>
      </w:pPr>
      <w:r>
        <w:rPr>
          <w:rFonts w:ascii="Arial" w:hAnsi="Arial"/>
          <w:b/>
          <w:i w:val="0"/>
          <w:color w:val="2374E7"/>
          <w:sz w:val="32"/>
        </w:rPr>
        <w:t>How to use this template</w:t>
      </w:r>
    </w:p>
    <w:p>
      <w:pPr>
        <w:pStyle w:val="ListBullet"/>
        <w:spacing w:after="80" w:line="300" w:lineRule="auto"/>
      </w:pPr>
      <w:r>
        <w:rPr>
          <w:rFonts w:ascii="Arial" w:hAnsi="Arial"/>
          <w:b w:val="0"/>
          <w:i w:val="0"/>
          <w:color w:val="132238"/>
          <w:sz w:val="22"/>
        </w:rPr>
        <w:t>Replace every [bracketed placeholder] and delete all drafting notes before issue.</w:t>
      </w:r>
    </w:p>
    <w:p>
      <w:pPr>
        <w:pStyle w:val="ListBullet"/>
        <w:spacing w:after="80" w:line="300" w:lineRule="auto"/>
      </w:pPr>
      <w:r>
        <w:rPr>
          <w:rFonts w:ascii="Arial" w:hAnsi="Arial"/>
          <w:b w:val="0"/>
          <w:i w:val="0"/>
          <w:color w:val="132238"/>
          <w:sz w:val="22"/>
        </w:rPr>
        <w:t>Select only monitoring methods that are actually enabled and verify the software configuration.</w:t>
      </w:r>
    </w:p>
    <w:p>
      <w:pPr>
        <w:pStyle w:val="ListBullet"/>
        <w:spacing w:after="80" w:line="300" w:lineRule="auto"/>
      </w:pPr>
      <w:r>
        <w:rPr>
          <w:rFonts w:ascii="Arial" w:hAnsi="Arial"/>
          <w:b w:val="0"/>
          <w:i w:val="0"/>
          <w:color w:val="132238"/>
          <w:sz w:val="22"/>
        </w:rPr>
        <w:t>Create location-specific addenda where legal requirements differ.</w:t>
      </w:r>
    </w:p>
    <w:p>
      <w:pPr>
        <w:pStyle w:val="ListBullet"/>
        <w:spacing w:after="80" w:line="300" w:lineRule="auto"/>
      </w:pPr>
      <w:r>
        <w:rPr>
          <w:rFonts w:ascii="Arial" w:hAnsi="Arial"/>
          <w:b w:val="0"/>
          <w:i w:val="0"/>
          <w:color w:val="132238"/>
          <w:sz w:val="22"/>
        </w:rPr>
        <w:t>Complete the legal-review and transparent-rollout checklists in the appendices.</w:t>
      </w:r>
    </w:p>
    <w:p>
      <w:pPr>
        <w:pStyle w:val="ListBullet"/>
        <w:spacing w:after="80" w:line="300" w:lineRule="auto"/>
      </w:pPr>
      <w:r>
        <w:rPr>
          <w:rFonts w:ascii="Arial" w:hAnsi="Arial"/>
          <w:b w:val="0"/>
          <w:i w:val="0"/>
          <w:color w:val="132238"/>
          <w:sz w:val="22"/>
        </w:rPr>
        <w:t>Give workers the final policy and any required privacy notice before monitoring begins.</w:t>
      </w:r>
    </w:p>
    <w:p>
      <w:pPr>
        <w:pStyle w:val="Heading1"/>
        <w:keepNext/>
        <w:spacing w:before="360" w:after="160"/>
      </w:pPr>
      <w:r>
        <w:rPr>
          <w:rFonts w:ascii="Arial" w:hAnsi="Arial"/>
          <w:b/>
          <w:i w:val="0"/>
          <w:color w:val="2374E7"/>
          <w:sz w:val="32"/>
        </w:rPr>
        <w:t>1. Purpose and principles</w:t>
      </w:r>
    </w:p>
    <w:p>
      <w:pPr>
        <w:spacing w:after="120" w:line="300" w:lineRule="auto"/>
      </w:pPr>
      <w:r>
        <w:rPr>
          <w:rFonts w:ascii="Arial" w:hAnsi="Arial"/>
          <w:b w:val="0"/>
          <w:i w:val="0"/>
          <w:color w:val="132238"/>
          <w:sz w:val="22"/>
        </w:rPr>
        <w:t>[Company legal name] ("Company") uses limited workplace monitoring for the specific purposes described in this policy. The Company aims to ensure that monitoring is lawful, necessary, proportionate, transparent and no more intrusive than reasonably required.</w:t>
      </w:r>
    </w:p>
    <w:p>
      <w:pPr>
        <w:spacing w:after="120" w:line="300" w:lineRule="auto"/>
      </w:pPr>
      <w:r>
        <w:rPr>
          <w:rFonts w:ascii="Arial" w:hAnsi="Arial"/>
          <w:b w:val="0"/>
          <w:i w:val="0"/>
          <w:color w:val="132238"/>
          <w:sz w:val="22"/>
        </w:rPr>
        <w:t>Monitoring information can lack context. It will not be treated as a complete measure of performance, commitment or conduct. Managers must consider role requirements, approved breaks, technical issues, accessibility needs and the worker's explanation before drawing conclusions.</w:t>
      </w:r>
    </w:p>
    <w:p>
      <w:pPr>
        <w:pStyle w:val="Heading1"/>
        <w:keepNext/>
        <w:spacing w:before="360" w:after="160"/>
      </w:pPr>
      <w:r>
        <w:rPr>
          <w:rFonts w:ascii="Arial" w:hAnsi="Arial"/>
          <w:b/>
          <w:i w:val="0"/>
          <w:color w:val="2374E7"/>
          <w:sz w:val="32"/>
        </w:rPr>
        <w:t>2. Scope</w:t>
      </w:r>
    </w:p>
    <w:p>
      <w:pPr>
        <w:spacing w:after="120" w:line="300" w:lineRule="auto"/>
      </w:pPr>
      <w:r>
        <w:rPr>
          <w:rFonts w:ascii="Arial" w:hAnsi="Arial"/>
          <w:b w:val="0"/>
          <w:i w:val="0"/>
          <w:color w:val="132238"/>
          <w:sz w:val="22"/>
        </w:rPr>
        <w:t>This policy applies to [employees / contractors / temporary workers / other categories] working [remotely / in Company workplaces / on a hybrid basis] in [locations].</w:t>
      </w:r>
    </w:p>
    <w:p>
      <w:pPr>
        <w:spacing w:after="120" w:line="300" w:lineRule="auto"/>
      </w:pPr>
      <w:r>
        <w:rPr>
          <w:rFonts w:ascii="Arial" w:hAnsi="Arial"/>
          <w:b w:val="0"/>
          <w:i w:val="0"/>
          <w:color w:val="132238"/>
          <w:sz w:val="22"/>
        </w:rPr>
        <w:t>It applies to [Company-owned devices / managed work profiles / specified accounts and systems]. Personal-device monitoring is [not permitted / limited to the managed work profile described in the BYOD addendum].</w:t>
      </w:r>
    </w:p>
    <w:p>
      <w:pPr>
        <w:pStyle w:val="Heading1"/>
        <w:keepNext/>
        <w:spacing w:before="360" w:after="160"/>
      </w:pPr>
      <w:r>
        <w:rPr>
          <w:rFonts w:ascii="Arial" w:hAnsi="Arial"/>
          <w:b/>
          <w:i w:val="0"/>
          <w:color w:val="2374E7"/>
          <w:sz w:val="32"/>
        </w:rPr>
        <w:t>3. Monitoring inventory</w:t>
      </w:r>
    </w:p>
    <w:p>
      <w:pPr>
        <w:spacing w:after="120" w:line="300" w:lineRule="auto"/>
      </w:pPr>
      <w:r>
        <w:rPr>
          <w:rFonts w:ascii="Arial" w:hAnsi="Arial"/>
          <w:b w:val="0"/>
          <w:i w:val="0"/>
          <w:color w:val="132238"/>
          <w:sz w:val="22"/>
        </w:rPr>
        <w:t>Complete the table with the exact production configuration. Do not leave a capability selected merely because the software supports it.</w:t>
      </w:r>
    </w:p>
    <w:tbl>
      <w:tblPr>
        <w:tblStyle w:val="TableGrid"/>
        <w:tblW w:type="dxa" w:w="9360"/>
        <w:tblLayout w:type="fixed"/>
        <w:tblLook w:firstColumn="1" w:firstRow="1" w:lastColumn="0" w:lastRow="0" w:noHBand="0" w:noVBand="1" w:val="04A0"/>
        <w:tblInd w:w="120" w:type="dxa"/>
      </w:tblPr>
      <w:tblGrid>
        <w:gridCol w:w="1550"/>
        <w:gridCol w:w="2900"/>
        <w:gridCol w:w="4910"/>
      </w:tblGrid>
      <w:tr>
        <w:tc>
          <w:tcPr>
            <w:tcW w:type="dxa" w:w="1550"/>
            <w:shd w:fill="2374E7"/>
          </w:tcPr>
          <w:p>
            <w:r>
              <w:rPr>
                <w:rFonts w:ascii="Arial" w:hAnsi="Arial"/>
                <w:b/>
                <w:i w:val="0"/>
                <w:color w:val="FFFFFF"/>
                <w:sz w:val="22"/>
              </w:rPr>
              <w:t>Use?</w:t>
            </w:r>
          </w:p>
        </w:tc>
        <w:tc>
          <w:tcPr>
            <w:tcW w:type="dxa" w:w="2900"/>
            <w:shd w:fill="2374E7"/>
          </w:tcPr>
          <w:p>
            <w:r>
              <w:rPr>
                <w:rFonts w:ascii="Arial" w:hAnsi="Arial"/>
                <w:b/>
                <w:i w:val="0"/>
                <w:color w:val="FFFFFF"/>
                <w:sz w:val="22"/>
              </w:rPr>
              <w:t>Monitoring category</w:t>
            </w:r>
          </w:p>
        </w:tc>
        <w:tc>
          <w:tcPr>
            <w:tcW w:type="dxa" w:w="4910"/>
            <w:shd w:fill="2374E7"/>
          </w:tcPr>
          <w:p>
            <w:r>
              <w:rPr>
                <w:rFonts w:ascii="Arial" w:hAnsi="Arial"/>
                <w:b/>
                <w:i w:val="0"/>
                <w:color w:val="FFFFFF"/>
                <w:sz w:val="22"/>
              </w:rPr>
              <w:t>Exact configuration / limits</w:t>
            </w:r>
          </w:p>
        </w:tc>
      </w:tr>
      <w:tr>
        <w:tc>
          <w:tcPr>
            <w:tcW w:type="dxa" w:w="1550"/>
          </w:tcPr>
          <w:p>
            <w:pPr>
              <w:spacing w:after="0"/>
            </w:pPr>
            <w:r>
              <w:rPr>
                <w:rFonts w:ascii="Arial" w:hAnsi="Arial"/>
                <w:b w:val="0"/>
                <w:i w:val="0"/>
                <w:color w:val="132238"/>
                <w:sz w:val="22"/>
              </w:rPr>
              <w:t>[ ] Yes  [ ] No</w:t>
            </w:r>
          </w:p>
        </w:tc>
        <w:tc>
          <w:tcPr>
            <w:tcW w:type="dxa" w:w="2900"/>
          </w:tcPr>
          <w:p>
            <w:pPr>
              <w:spacing w:after="0"/>
            </w:pPr>
            <w:r>
              <w:rPr>
                <w:rFonts w:ascii="Arial" w:hAnsi="Arial"/>
                <w:b w:val="0"/>
                <w:i w:val="0"/>
                <w:color w:val="132238"/>
                <w:sz w:val="22"/>
              </w:rPr>
              <w:t>Work time and attendance</w:t>
            </w:r>
          </w:p>
        </w:tc>
        <w:tc>
          <w:tcPr>
            <w:tcW w:type="dxa" w:w="4910"/>
          </w:tcPr>
          <w:p>
            <w:pPr>
              <w:spacing w:after="0"/>
            </w:pPr>
            <w:r>
              <w:rPr>
                <w:rFonts w:ascii="Arial" w:hAnsi="Arial"/>
                <w:b w:val="0"/>
                <w:i w:val="0"/>
                <w:color w:val="56657A"/>
                <w:sz w:val="22"/>
              </w:rPr>
              <w:t>[Hours, shifts, active tracker state; start/stop conditions]</w:t>
            </w:r>
          </w:p>
        </w:tc>
      </w:tr>
      <w:tr>
        <w:tc>
          <w:tcPr>
            <w:tcW w:type="dxa" w:w="1550"/>
          </w:tcPr>
          <w:p>
            <w:pPr>
              <w:spacing w:after="0"/>
            </w:pPr>
            <w:r>
              <w:rPr>
                <w:rFonts w:ascii="Arial" w:hAnsi="Arial"/>
                <w:b w:val="0"/>
                <w:i w:val="0"/>
                <w:color w:val="132238"/>
                <w:sz w:val="22"/>
              </w:rPr>
              <w:t>[ ] Yes  [ ] No</w:t>
            </w:r>
          </w:p>
        </w:tc>
        <w:tc>
          <w:tcPr>
            <w:tcW w:type="dxa" w:w="2900"/>
          </w:tcPr>
          <w:p>
            <w:pPr>
              <w:spacing w:after="0"/>
            </w:pPr>
            <w:r>
              <w:rPr>
                <w:rFonts w:ascii="Arial" w:hAnsi="Arial"/>
                <w:b w:val="0"/>
                <w:i w:val="0"/>
                <w:color w:val="132238"/>
                <w:sz w:val="22"/>
              </w:rPr>
              <w:t>Applications used</w:t>
            </w:r>
          </w:p>
        </w:tc>
        <w:tc>
          <w:tcPr>
            <w:tcW w:type="dxa" w:w="4910"/>
          </w:tcPr>
          <w:p>
            <w:pPr>
              <w:spacing w:after="0"/>
            </w:pPr>
            <w:r>
              <w:rPr>
                <w:rFonts w:ascii="Arial" w:hAnsi="Arial"/>
                <w:b w:val="0"/>
                <w:i w:val="0"/>
                <w:color w:val="56657A"/>
                <w:sz w:val="22"/>
              </w:rPr>
              <w:t>[Application name; whether duration and active status are recorded]</w:t>
            </w:r>
          </w:p>
        </w:tc>
      </w:tr>
      <w:tr>
        <w:tc>
          <w:tcPr>
            <w:tcW w:type="dxa" w:w="1550"/>
          </w:tcPr>
          <w:p>
            <w:pPr>
              <w:spacing w:after="0"/>
            </w:pPr>
            <w:r>
              <w:rPr>
                <w:rFonts w:ascii="Arial" w:hAnsi="Arial"/>
                <w:b w:val="0"/>
                <w:i w:val="0"/>
                <w:color w:val="132238"/>
                <w:sz w:val="22"/>
              </w:rPr>
              <w:t>[ ] Yes  [ ] No</w:t>
            </w:r>
          </w:p>
        </w:tc>
        <w:tc>
          <w:tcPr>
            <w:tcW w:type="dxa" w:w="2900"/>
          </w:tcPr>
          <w:p>
            <w:pPr>
              <w:spacing w:after="0"/>
            </w:pPr>
            <w:r>
              <w:rPr>
                <w:rFonts w:ascii="Arial" w:hAnsi="Arial"/>
                <w:b w:val="0"/>
                <w:i w:val="0"/>
                <w:color w:val="132238"/>
                <w:sz w:val="22"/>
              </w:rPr>
              <w:t>Work websites or URLs</w:t>
            </w:r>
          </w:p>
        </w:tc>
        <w:tc>
          <w:tcPr>
            <w:tcW w:type="dxa" w:w="4910"/>
          </w:tcPr>
          <w:p>
            <w:pPr>
              <w:spacing w:after="0"/>
            </w:pPr>
            <w:r>
              <w:rPr>
                <w:rFonts w:ascii="Arial" w:hAnsi="Arial"/>
                <w:b w:val="0"/>
                <w:i w:val="0"/>
                <w:color w:val="56657A"/>
                <w:sz w:val="22"/>
              </w:rPr>
              <w:t>[Domain only or full URL; exclusions for sensitive sites]</w:t>
            </w:r>
          </w:p>
        </w:tc>
      </w:tr>
      <w:tr>
        <w:tc>
          <w:tcPr>
            <w:tcW w:type="dxa" w:w="1550"/>
          </w:tcPr>
          <w:p>
            <w:pPr>
              <w:spacing w:after="0"/>
            </w:pPr>
            <w:r>
              <w:rPr>
                <w:rFonts w:ascii="Arial" w:hAnsi="Arial"/>
                <w:b w:val="0"/>
                <w:i w:val="0"/>
                <w:color w:val="132238"/>
                <w:sz w:val="22"/>
              </w:rPr>
              <w:t>[ ] Yes  [ ] No</w:t>
            </w:r>
          </w:p>
        </w:tc>
        <w:tc>
          <w:tcPr>
            <w:tcW w:type="dxa" w:w="2900"/>
          </w:tcPr>
          <w:p>
            <w:pPr>
              <w:spacing w:after="0"/>
            </w:pPr>
            <w:r>
              <w:rPr>
                <w:rFonts w:ascii="Arial" w:hAnsi="Arial"/>
                <w:b w:val="0"/>
                <w:i w:val="0"/>
                <w:color w:val="132238"/>
                <w:sz w:val="22"/>
              </w:rPr>
              <w:t>Active-window titles</w:t>
            </w:r>
          </w:p>
        </w:tc>
        <w:tc>
          <w:tcPr>
            <w:tcW w:type="dxa" w:w="4910"/>
          </w:tcPr>
          <w:p>
            <w:pPr>
              <w:spacing w:after="0"/>
            </w:pPr>
            <w:r>
              <w:rPr>
                <w:rFonts w:ascii="Arial" w:hAnsi="Arial"/>
                <w:b w:val="0"/>
                <w:i w:val="0"/>
                <w:color w:val="56657A"/>
                <w:sz w:val="22"/>
              </w:rPr>
              <w:t>[Fields captured; masking/exclusion rules]</w:t>
            </w:r>
          </w:p>
        </w:tc>
      </w:tr>
      <w:tr>
        <w:tc>
          <w:tcPr>
            <w:tcW w:type="dxa" w:w="1550"/>
          </w:tcPr>
          <w:p>
            <w:pPr>
              <w:spacing w:after="0"/>
            </w:pPr>
            <w:r>
              <w:rPr>
                <w:rFonts w:ascii="Arial" w:hAnsi="Arial"/>
                <w:b w:val="0"/>
                <w:i w:val="0"/>
                <w:color w:val="132238"/>
                <w:sz w:val="22"/>
              </w:rPr>
              <w:t>[ ] Yes  [ ] No</w:t>
            </w:r>
          </w:p>
        </w:tc>
        <w:tc>
          <w:tcPr>
            <w:tcW w:type="dxa" w:w="2900"/>
          </w:tcPr>
          <w:p>
            <w:pPr>
              <w:spacing w:after="0"/>
            </w:pPr>
            <w:r>
              <w:rPr>
                <w:rFonts w:ascii="Arial" w:hAnsi="Arial"/>
                <w:b w:val="0"/>
                <w:i w:val="0"/>
                <w:color w:val="132238"/>
                <w:sz w:val="22"/>
              </w:rPr>
              <w:t>Periodic screenshots</w:t>
            </w:r>
          </w:p>
        </w:tc>
        <w:tc>
          <w:tcPr>
            <w:tcW w:type="dxa" w:w="4910"/>
          </w:tcPr>
          <w:p>
            <w:pPr>
              <w:spacing w:after="0"/>
            </w:pPr>
            <w:r>
              <w:rPr>
                <w:rFonts w:ascii="Arial" w:hAnsi="Arial"/>
                <w:b w:val="0"/>
                <w:i w:val="0"/>
                <w:color w:val="56657A"/>
                <w:sz w:val="22"/>
              </w:rPr>
              <w:t>[Frequency, randomisation, blur/masking and pause controls]</w:t>
            </w:r>
          </w:p>
        </w:tc>
      </w:tr>
      <w:tr>
        <w:tc>
          <w:tcPr>
            <w:tcW w:type="dxa" w:w="1550"/>
          </w:tcPr>
          <w:p>
            <w:pPr>
              <w:spacing w:after="0"/>
            </w:pPr>
            <w:r>
              <w:rPr>
                <w:rFonts w:ascii="Arial" w:hAnsi="Arial"/>
                <w:b w:val="0"/>
                <w:i w:val="0"/>
                <w:color w:val="132238"/>
                <w:sz w:val="22"/>
              </w:rPr>
              <w:t>[ ] Yes  [ ] No</w:t>
            </w:r>
          </w:p>
        </w:tc>
        <w:tc>
          <w:tcPr>
            <w:tcW w:type="dxa" w:w="2900"/>
          </w:tcPr>
          <w:p>
            <w:pPr>
              <w:spacing w:after="0"/>
            </w:pPr>
            <w:r>
              <w:rPr>
                <w:rFonts w:ascii="Arial" w:hAnsi="Arial"/>
                <w:b w:val="0"/>
                <w:i w:val="0"/>
                <w:color w:val="132238"/>
                <w:sz w:val="22"/>
              </w:rPr>
              <w:t>Project and task activity</w:t>
            </w:r>
          </w:p>
        </w:tc>
        <w:tc>
          <w:tcPr>
            <w:tcW w:type="dxa" w:w="4910"/>
          </w:tcPr>
          <w:p>
            <w:pPr>
              <w:spacing w:after="0"/>
            </w:pPr>
            <w:r>
              <w:rPr>
                <w:rFonts w:ascii="Arial" w:hAnsi="Arial"/>
                <w:b w:val="0"/>
                <w:i w:val="0"/>
                <w:color w:val="56657A"/>
                <w:sz w:val="22"/>
              </w:rPr>
              <w:t>[Project selection, mapping rules and corrections]</w:t>
            </w:r>
          </w:p>
        </w:tc>
      </w:tr>
      <w:tr>
        <w:tc>
          <w:tcPr>
            <w:tcW w:type="dxa" w:w="1550"/>
          </w:tcPr>
          <w:p>
            <w:pPr>
              <w:spacing w:after="0"/>
            </w:pPr>
            <w:r>
              <w:rPr>
                <w:rFonts w:ascii="Arial" w:hAnsi="Arial"/>
                <w:b w:val="0"/>
                <w:i w:val="0"/>
                <w:color w:val="132238"/>
                <w:sz w:val="22"/>
              </w:rPr>
              <w:t>[ ] Yes  [ ] No</w:t>
            </w:r>
          </w:p>
        </w:tc>
        <w:tc>
          <w:tcPr>
            <w:tcW w:type="dxa" w:w="2900"/>
          </w:tcPr>
          <w:p>
            <w:pPr>
              <w:spacing w:after="0"/>
            </w:pPr>
            <w:r>
              <w:rPr>
                <w:rFonts w:ascii="Arial" w:hAnsi="Arial"/>
                <w:b w:val="0"/>
                <w:i w:val="0"/>
                <w:color w:val="132238"/>
                <w:sz w:val="22"/>
              </w:rPr>
              <w:t>Location or device information</w:t>
            </w:r>
          </w:p>
        </w:tc>
        <w:tc>
          <w:tcPr>
            <w:tcW w:type="dxa" w:w="4910"/>
          </w:tcPr>
          <w:p>
            <w:pPr>
              <w:spacing w:after="0"/>
            </w:pPr>
            <w:r>
              <w:rPr>
                <w:rFonts w:ascii="Arial" w:hAnsi="Arial"/>
                <w:b w:val="0"/>
                <w:i w:val="0"/>
                <w:color w:val="56657A"/>
                <w:sz w:val="22"/>
              </w:rPr>
              <w:t>[Specify precisely or mark not used]</w:t>
            </w:r>
          </w:p>
        </w:tc>
      </w:tr>
      <w:tr>
        <w:tc>
          <w:tcPr>
            <w:tcW w:type="dxa" w:w="1550"/>
          </w:tcPr>
          <w:p>
            <w:pPr>
              <w:spacing w:after="0"/>
            </w:pPr>
            <w:r>
              <w:rPr>
                <w:rFonts w:ascii="Arial" w:hAnsi="Arial"/>
                <w:b w:val="0"/>
                <w:i w:val="0"/>
                <w:color w:val="132238"/>
                <w:sz w:val="22"/>
              </w:rPr>
              <w:t>[ ] Yes  [ ] No</w:t>
            </w:r>
          </w:p>
        </w:tc>
        <w:tc>
          <w:tcPr>
            <w:tcW w:type="dxa" w:w="2900"/>
          </w:tcPr>
          <w:p>
            <w:pPr>
              <w:spacing w:after="0"/>
            </w:pPr>
            <w:r>
              <w:rPr>
                <w:rFonts w:ascii="Arial" w:hAnsi="Arial"/>
                <w:b w:val="0"/>
                <w:i w:val="0"/>
                <w:color w:val="132238"/>
                <w:sz w:val="22"/>
              </w:rPr>
              <w:t>Other</w:t>
            </w:r>
          </w:p>
        </w:tc>
        <w:tc>
          <w:tcPr>
            <w:tcW w:type="dxa" w:w="4910"/>
          </w:tcPr>
          <w:p>
            <w:pPr>
              <w:spacing w:after="0"/>
            </w:pPr>
            <w:r>
              <w:rPr>
                <w:rFonts w:ascii="Arial" w:hAnsi="Arial"/>
                <w:b w:val="0"/>
                <w:i w:val="0"/>
                <w:color w:val="56657A"/>
                <w:sz w:val="22"/>
              </w:rPr>
              <w:t>[Describe the data and collection method]</w:t>
            </w:r>
          </w:p>
        </w:tc>
      </w:tr>
    </w:tbl>
    <w:p>
      <w:pPr>
        <w:spacing w:after="0"/>
      </w:pPr>
    </w:p>
    <w:p>
      <w:pPr>
        <w:spacing w:after="120" w:line="300" w:lineRule="auto"/>
      </w:pPr>
      <w:r>
        <w:rPr>
          <w:rFonts w:ascii="Arial" w:hAnsi="Arial"/>
          <w:b w:val="0"/>
          <w:i w:val="0"/>
          <w:color w:val="132238"/>
          <w:sz w:val="22"/>
        </w:rPr>
        <w:t>Expressly excluded monitoring: [for example, keystroke content, webcam capture, microphone/audio, continuous screen video, private communications or activity outside work time]. Any change requires documented legal/privacy review and any required advance communication or consultation.</w:t>
      </w:r>
    </w:p>
    <w:p>
      <w:pPr>
        <w:pStyle w:val="Heading1"/>
        <w:keepNext/>
        <w:spacing w:before="360" w:after="160"/>
      </w:pPr>
      <w:r>
        <w:rPr>
          <w:rFonts w:ascii="Arial" w:hAnsi="Arial"/>
          <w:b/>
          <w:i w:val="0"/>
          <w:color w:val="2374E7"/>
          <w:sz w:val="32"/>
        </w:rPr>
        <w:t>4. When monitoring operates</w:t>
      </w:r>
    </w:p>
    <w:p>
      <w:pPr>
        <w:spacing w:after="120" w:line="300" w:lineRule="auto"/>
      </w:pPr>
      <w:r>
        <w:rPr>
          <w:rFonts w:ascii="Arial" w:hAnsi="Arial"/>
          <w:b w:val="0"/>
          <w:i w:val="0"/>
          <w:color w:val="132238"/>
          <w:sz w:val="22"/>
        </w:rPr>
        <w:t>Monitoring operates [during scheduled work hours / only while the approved desktop tracker is active / other exact trigger]. It is intended to stop [at shift end / when the worker pauses or exits the tracker / other].</w:t>
      </w:r>
    </w:p>
    <w:p>
      <w:pPr>
        <w:spacing w:after="120" w:line="300" w:lineRule="auto"/>
      </w:pPr>
      <w:r>
        <w:rPr>
          <w:rFonts w:ascii="Arial" w:hAnsi="Arial"/>
          <w:b w:val="0"/>
          <w:i w:val="0"/>
          <w:color w:val="132238"/>
          <w:sz w:val="22"/>
        </w:rPr>
        <w:t>Workers should protect personal activity by [using a separate personal device or profile / pausing or exiting the tracker / following another documented process]. If monitoring appears to continue unexpectedly, contact [support/privacy contact] immediately.</w:t>
      </w:r>
    </w:p>
    <w:p>
      <w:pPr>
        <w:pStyle w:val="Heading1"/>
        <w:keepNext/>
        <w:spacing w:before="360" w:after="160"/>
      </w:pPr>
      <w:r>
        <w:rPr>
          <w:rFonts w:ascii="Arial" w:hAnsi="Arial"/>
          <w:b/>
          <w:i w:val="0"/>
          <w:color w:val="2374E7"/>
          <w:sz w:val="32"/>
        </w:rPr>
        <w:t>5. Defined purposes</w:t>
      </w:r>
    </w:p>
    <w:p>
      <w:pPr>
        <w:spacing w:after="120" w:line="300" w:lineRule="auto"/>
      </w:pPr>
      <w:r>
        <w:rPr>
          <w:rFonts w:ascii="Arial" w:hAnsi="Arial"/>
          <w:b w:val="0"/>
          <w:i w:val="0"/>
          <w:color w:val="132238"/>
          <w:sz w:val="22"/>
        </w:rPr>
        <w:t>The Company processes each category only for the selected and documented purposes below:</w:t>
      </w:r>
    </w:p>
    <w:p>
      <w:pPr>
        <w:pStyle w:val="ListBullet"/>
        <w:spacing w:after="80" w:line="300" w:lineRule="auto"/>
      </w:pPr>
      <w:r>
        <w:rPr>
          <w:rFonts w:ascii="Arial" w:hAnsi="Arial"/>
          <w:b w:val="0"/>
          <w:i w:val="0"/>
          <w:color w:val="132238"/>
          <w:sz w:val="22"/>
        </w:rPr>
        <w:t>[Accurate work-time and attendance records]</w:t>
      </w:r>
    </w:p>
    <w:p>
      <w:pPr>
        <w:pStyle w:val="ListBullet"/>
        <w:spacing w:after="80" w:line="300" w:lineRule="auto"/>
      </w:pPr>
      <w:r>
        <w:rPr>
          <w:rFonts w:ascii="Arial" w:hAnsi="Arial"/>
          <w:b w:val="0"/>
          <w:i w:val="0"/>
          <w:color w:val="132238"/>
          <w:sz w:val="22"/>
        </w:rPr>
        <w:t>[Project costing, resource planning or client billing]</w:t>
      </w:r>
    </w:p>
    <w:p>
      <w:pPr>
        <w:pStyle w:val="ListBullet"/>
        <w:spacing w:after="80" w:line="300" w:lineRule="auto"/>
      </w:pPr>
      <w:r>
        <w:rPr>
          <w:rFonts w:ascii="Arial" w:hAnsi="Arial"/>
          <w:b w:val="0"/>
          <w:i w:val="0"/>
          <w:color w:val="132238"/>
          <w:sz w:val="22"/>
        </w:rPr>
        <w:t>[Information-security and acceptable-use controls]</w:t>
      </w:r>
    </w:p>
    <w:p>
      <w:pPr>
        <w:pStyle w:val="ListBullet"/>
        <w:spacing w:after="80" w:line="300" w:lineRule="auto"/>
      </w:pPr>
      <w:r>
        <w:rPr>
          <w:rFonts w:ascii="Arial" w:hAnsi="Arial"/>
          <w:b w:val="0"/>
          <w:i w:val="0"/>
          <w:color w:val="132238"/>
          <w:sz w:val="22"/>
        </w:rPr>
        <w:t>[Workflow, capacity and process improvement]</w:t>
      </w:r>
    </w:p>
    <w:p>
      <w:pPr>
        <w:pStyle w:val="ListBullet"/>
        <w:spacing w:after="80" w:line="300" w:lineRule="auto"/>
      </w:pPr>
      <w:r>
        <w:rPr>
          <w:rFonts w:ascii="Arial" w:hAnsi="Arial"/>
          <w:b w:val="0"/>
          <w:i w:val="0"/>
          <w:color w:val="132238"/>
          <w:sz w:val="22"/>
        </w:rPr>
        <w:t>[Another specific purpose - avoid 'any business purpose']</w:t>
      </w:r>
    </w:p>
    <w:p>
      <w:pPr>
        <w:spacing w:after="120" w:line="300" w:lineRule="auto"/>
      </w:pPr>
      <w:r>
        <w:rPr>
          <w:rFonts w:ascii="Arial" w:hAnsi="Arial"/>
          <w:b w:val="0"/>
          <w:i w:val="0"/>
          <w:color w:val="132238"/>
          <w:sz w:val="22"/>
        </w:rPr>
        <w:t>The Company will not use monitoring data for an incompatible new purpose without completing applicable review, updating its documentation and giving any required notice.</w:t>
      </w:r>
    </w:p>
    <w:p>
      <w:pPr>
        <w:pStyle w:val="Heading1"/>
        <w:keepNext/>
        <w:spacing w:before="360" w:after="160"/>
      </w:pPr>
      <w:r>
        <w:rPr>
          <w:rFonts w:ascii="Arial" w:hAnsi="Arial"/>
          <w:b/>
          <w:i w:val="0"/>
          <w:color w:val="2374E7"/>
          <w:sz w:val="32"/>
        </w:rPr>
        <w:t>6. Legal basis and required assessment</w:t>
      </w:r>
    </w:p>
    <w:p>
      <w:pPr>
        <w:spacing w:after="120" w:line="300" w:lineRule="auto"/>
      </w:pPr>
      <w:r>
        <w:rPr>
          <w:rFonts w:ascii="Arial" w:hAnsi="Arial"/>
          <w:b w:val="0"/>
          <w:i w:val="0"/>
          <w:color w:val="132238"/>
          <w:sz w:val="22"/>
        </w:rPr>
        <w:t>Applicable legal ground(s), as approved by counsel: [insert separately for each jurisdiction and purpose].</w:t>
      </w:r>
    </w:p>
    <w:p>
      <w:pPr>
        <w:spacing w:after="120" w:line="300" w:lineRule="auto"/>
      </w:pPr>
      <w:r>
        <w:rPr>
          <w:rFonts w:ascii="Arial" w:hAnsi="Arial"/>
          <w:b w:val="0"/>
          <w:i w:val="0"/>
          <w:color w:val="132238"/>
          <w:sz w:val="22"/>
        </w:rPr>
        <w:t>DPIA, privacy impact assessment or equivalent risk assessment: [reference, owner, approval date and review date / documented reason not required].</w:t>
      </w:r>
    </w:p>
    <w:p>
      <w:pPr>
        <w:spacing w:after="120" w:line="300" w:lineRule="auto"/>
      </w:pPr>
      <w:r>
        <w:rPr>
          <w:rFonts w:ascii="Arial" w:hAnsi="Arial"/>
          <w:b w:val="0"/>
          <w:i w:val="0"/>
          <w:color w:val="132238"/>
          <w:sz w:val="22"/>
        </w:rPr>
        <w:t>Consultation or representative involvement: [workers consulted / union or works council process / collective agreement / not applicable with documented rationale].</w:t>
      </w:r>
    </w:p>
    <w:p>
      <w:pPr>
        <w:spacing w:after="120" w:line="300" w:lineRule="auto"/>
      </w:pPr>
      <w:r>
        <w:rPr>
          <w:rFonts w:ascii="Arial" w:hAnsi="Arial"/>
          <w:b w:val="0"/>
          <w:i/>
          <w:color w:val="56657A"/>
          <w:sz w:val="22"/>
        </w:rPr>
        <w:t>Drafting note: Do not assume that a worker's signature creates freely given consent. Employment relationships can create a power imbalance, and the appropriate basis depends on local law.</w:t>
      </w:r>
    </w:p>
    <w:p>
      <w:pPr>
        <w:pStyle w:val="Heading1"/>
        <w:keepNext/>
        <w:spacing w:before="360" w:after="160"/>
      </w:pPr>
      <w:r>
        <w:rPr>
          <w:rFonts w:ascii="Arial" w:hAnsi="Arial"/>
          <w:b/>
          <w:i w:val="0"/>
          <w:color w:val="2374E7"/>
          <w:sz w:val="32"/>
        </w:rPr>
        <w:t>7. Notice and transparency</w:t>
      </w:r>
    </w:p>
    <w:p>
      <w:pPr>
        <w:spacing w:after="120" w:line="300" w:lineRule="auto"/>
      </w:pPr>
      <w:r>
        <w:rPr>
          <w:rFonts w:ascii="Arial" w:hAnsi="Arial"/>
          <w:b w:val="0"/>
          <w:i w:val="0"/>
          <w:color w:val="132238"/>
          <w:sz w:val="22"/>
        </w:rPr>
        <w:t>Before monitoring begins, affected workers will receive this policy and [the applicable employee privacy notice / monitoring notice / location-specific addendum]. The Company will explain:</w:t>
      </w:r>
    </w:p>
    <w:p>
      <w:pPr>
        <w:pStyle w:val="ListBullet"/>
        <w:spacing w:after="80" w:line="300" w:lineRule="auto"/>
      </w:pPr>
      <w:r>
        <w:rPr>
          <w:rFonts w:ascii="Arial" w:hAnsi="Arial"/>
          <w:b w:val="0"/>
          <w:i w:val="0"/>
          <w:color w:val="132238"/>
          <w:sz w:val="22"/>
        </w:rPr>
        <w:t>what data is collected and what is not collected;</w:t>
      </w:r>
    </w:p>
    <w:p>
      <w:pPr>
        <w:pStyle w:val="ListBullet"/>
        <w:spacing w:after="80" w:line="300" w:lineRule="auto"/>
      </w:pPr>
      <w:r>
        <w:rPr>
          <w:rFonts w:ascii="Arial" w:hAnsi="Arial"/>
          <w:b w:val="0"/>
          <w:i w:val="0"/>
          <w:color w:val="132238"/>
          <w:sz w:val="22"/>
        </w:rPr>
        <w:t>the purposes, operating schedule and device/account scope;</w:t>
      </w:r>
    </w:p>
    <w:p>
      <w:pPr>
        <w:pStyle w:val="ListBullet"/>
        <w:spacing w:after="80" w:line="300" w:lineRule="auto"/>
      </w:pPr>
      <w:r>
        <w:rPr>
          <w:rFonts w:ascii="Arial" w:hAnsi="Arial"/>
          <w:b w:val="0"/>
          <w:i w:val="0"/>
          <w:color w:val="132238"/>
          <w:sz w:val="22"/>
        </w:rPr>
        <w:t>who can access the data and how long it is kept;</w:t>
      </w:r>
    </w:p>
    <w:p>
      <w:pPr>
        <w:pStyle w:val="ListBullet"/>
        <w:spacing w:after="80" w:line="300" w:lineRule="auto"/>
      </w:pPr>
      <w:r>
        <w:rPr>
          <w:rFonts w:ascii="Arial" w:hAnsi="Arial"/>
          <w:b w:val="0"/>
          <w:i w:val="0"/>
          <w:color w:val="132238"/>
          <w:sz w:val="22"/>
        </w:rPr>
        <w:t>how monitoring data may affect decisions; and</w:t>
      </w:r>
    </w:p>
    <w:p>
      <w:pPr>
        <w:pStyle w:val="ListBullet"/>
        <w:spacing w:after="80" w:line="300" w:lineRule="auto"/>
      </w:pPr>
      <w:r>
        <w:rPr>
          <w:rFonts w:ascii="Arial" w:hAnsi="Arial"/>
          <w:b w:val="0"/>
          <w:i w:val="0"/>
          <w:color w:val="132238"/>
          <w:sz w:val="22"/>
        </w:rPr>
        <w:t>how workers can ask questions, correct inaccuracies or raise a complaint.</w:t>
      </w:r>
    </w:p>
    <w:p>
      <w:pPr>
        <w:pStyle w:val="Heading1"/>
        <w:keepNext/>
        <w:spacing w:before="360" w:after="160"/>
      </w:pPr>
      <w:r>
        <w:rPr>
          <w:rFonts w:ascii="Arial" w:hAnsi="Arial"/>
          <w:b/>
          <w:i w:val="0"/>
          <w:color w:val="2374E7"/>
          <w:sz w:val="32"/>
        </w:rPr>
        <w:t>8. Access, use and manager responsibilities</w:t>
      </w:r>
    </w:p>
    <w:p>
      <w:pPr>
        <w:spacing w:after="120" w:line="300" w:lineRule="auto"/>
      </w:pPr>
      <w:r>
        <w:rPr>
          <w:rFonts w:ascii="Arial" w:hAnsi="Arial"/>
          <w:b w:val="0"/>
          <w:i w:val="0"/>
          <w:color w:val="132238"/>
          <w:sz w:val="22"/>
        </w:rPr>
        <w:t>Authorised access is limited to [roles] for [approved purposes]. Access is logged/reviewed by [role and frequency]. Managers must not browse monitoring information out of curiosity, share it informally, or use isolated activity signals as a substitute for fair performance management.</w:t>
      </w:r>
    </w:p>
    <w:p>
      <w:pPr>
        <w:spacing w:after="120" w:line="300" w:lineRule="auto"/>
      </w:pPr>
      <w:r>
        <w:rPr>
          <w:rFonts w:ascii="Arial" w:hAnsi="Arial"/>
          <w:b w:val="0"/>
          <w:i w:val="0"/>
          <w:color w:val="132238"/>
          <w:sz w:val="22"/>
        </w:rPr>
        <w:t>Monitoring records may be disclosed to [service providers / clients / professional advisers / regulators / law enforcement] only when [conditions and safeguards].</w:t>
      </w:r>
    </w:p>
    <w:p>
      <w:pPr>
        <w:pStyle w:val="Heading1"/>
        <w:keepNext/>
        <w:spacing w:before="360" w:after="160"/>
      </w:pPr>
      <w:r>
        <w:rPr>
          <w:rFonts w:ascii="Arial" w:hAnsi="Arial"/>
          <w:b/>
          <w:i w:val="0"/>
          <w:color w:val="2374E7"/>
          <w:sz w:val="32"/>
        </w:rPr>
        <w:t>9. Retention and deletion</w:t>
      </w:r>
    </w:p>
    <w:tbl>
      <w:tblPr>
        <w:tblStyle w:val="TableGrid"/>
        <w:tblW w:type="dxa" w:w="9360"/>
        <w:tblLayout w:type="fixed"/>
        <w:tblLook w:firstColumn="1" w:firstRow="1" w:lastColumn="0" w:lastRow="0" w:noHBand="0" w:noVBand="1" w:val="04A0"/>
        <w:tblInd w:w="120" w:type="dxa"/>
      </w:tblPr>
      <w:tblGrid>
        <w:gridCol w:w="2600"/>
        <w:gridCol w:w="2200"/>
        <w:gridCol w:w="4560"/>
      </w:tblGrid>
      <w:tr>
        <w:tc>
          <w:tcPr>
            <w:tcW w:type="dxa" w:w="2600"/>
            <w:shd w:fill="2374E7"/>
          </w:tcPr>
          <w:p>
            <w:r>
              <w:rPr>
                <w:rFonts w:ascii="Arial" w:hAnsi="Arial"/>
                <w:b/>
                <w:i w:val="0"/>
                <w:color w:val="FFFFFF"/>
                <w:sz w:val="22"/>
              </w:rPr>
              <w:t>Data category</w:t>
            </w:r>
          </w:p>
        </w:tc>
        <w:tc>
          <w:tcPr>
            <w:tcW w:type="dxa" w:w="2200"/>
            <w:shd w:fill="2374E7"/>
          </w:tcPr>
          <w:p>
            <w:r>
              <w:rPr>
                <w:rFonts w:ascii="Arial" w:hAnsi="Arial"/>
                <w:b/>
                <w:i w:val="0"/>
                <w:color w:val="FFFFFF"/>
                <w:sz w:val="22"/>
              </w:rPr>
              <w:t>Retention period</w:t>
            </w:r>
          </w:p>
        </w:tc>
        <w:tc>
          <w:tcPr>
            <w:tcW w:type="dxa" w:w="4560"/>
            <w:shd w:fill="2374E7"/>
          </w:tcPr>
          <w:p>
            <w:r>
              <w:rPr>
                <w:rFonts w:ascii="Arial" w:hAnsi="Arial"/>
                <w:b/>
                <w:i w:val="0"/>
                <w:color w:val="FFFFFF"/>
                <w:sz w:val="22"/>
              </w:rPr>
              <w:t>Reason / deletion method</w:t>
            </w:r>
          </w:p>
        </w:tc>
      </w:tr>
      <w:tr>
        <w:tc>
          <w:tcPr>
            <w:tcW w:type="dxa" w:w="2600"/>
          </w:tcPr>
          <w:p>
            <w:r>
              <w:rPr>
                <w:rFonts w:ascii="Arial" w:hAnsi="Arial"/>
                <w:b w:val="0"/>
                <w:i w:val="0"/>
                <w:color w:val="132238"/>
                <w:sz w:val="19"/>
              </w:rPr>
              <w:t>Screenshots</w:t>
            </w:r>
          </w:p>
        </w:tc>
        <w:tc>
          <w:tcPr>
            <w:tcW w:type="dxa" w:w="2200"/>
          </w:tcPr>
          <w:p>
            <w:r>
              <w:rPr>
                <w:rFonts w:ascii="Arial" w:hAnsi="Arial"/>
                <w:b w:val="0"/>
                <w:i w:val="0"/>
                <w:color w:val="56657A"/>
                <w:sz w:val="19"/>
              </w:rPr>
              <w:t>[e.g., __ days]</w:t>
            </w:r>
          </w:p>
        </w:tc>
        <w:tc>
          <w:tcPr>
            <w:tcW w:type="dxa" w:w="4560"/>
          </w:tcPr>
          <w:p>
            <w:r>
              <w:rPr>
                <w:rFonts w:ascii="Arial" w:hAnsi="Arial"/>
                <w:b w:val="0"/>
                <w:i w:val="0"/>
                <w:color w:val="56657A"/>
                <w:sz w:val="19"/>
              </w:rPr>
              <w:t>[Purpose and automated deletion]</w:t>
            </w:r>
          </w:p>
        </w:tc>
      </w:tr>
      <w:tr>
        <w:tc>
          <w:tcPr>
            <w:tcW w:type="dxa" w:w="2600"/>
          </w:tcPr>
          <w:p>
            <w:r>
              <w:rPr>
                <w:rFonts w:ascii="Arial" w:hAnsi="Arial"/>
                <w:b w:val="0"/>
                <w:i w:val="0"/>
                <w:color w:val="132238"/>
                <w:sz w:val="19"/>
              </w:rPr>
              <w:t>App/website activity</w:t>
            </w:r>
          </w:p>
        </w:tc>
        <w:tc>
          <w:tcPr>
            <w:tcW w:type="dxa" w:w="2200"/>
          </w:tcPr>
          <w:p>
            <w:r>
              <w:rPr>
                <w:rFonts w:ascii="Arial" w:hAnsi="Arial"/>
                <w:b w:val="0"/>
                <w:i w:val="0"/>
                <w:color w:val="56657A"/>
                <w:sz w:val="19"/>
              </w:rPr>
              <w:t>[__ days/months]</w:t>
            </w:r>
          </w:p>
        </w:tc>
        <w:tc>
          <w:tcPr>
            <w:tcW w:type="dxa" w:w="4560"/>
          </w:tcPr>
          <w:p>
            <w:r>
              <w:rPr>
                <w:rFonts w:ascii="Arial" w:hAnsi="Arial"/>
                <w:b w:val="0"/>
                <w:i w:val="0"/>
                <w:color w:val="56657A"/>
                <w:sz w:val="19"/>
              </w:rPr>
              <w:t>[Purpose and deletion/anonymisation]</w:t>
            </w:r>
          </w:p>
        </w:tc>
      </w:tr>
      <w:tr>
        <w:tc>
          <w:tcPr>
            <w:tcW w:type="dxa" w:w="2600"/>
          </w:tcPr>
          <w:p>
            <w:r>
              <w:rPr>
                <w:rFonts w:ascii="Arial" w:hAnsi="Arial"/>
                <w:b w:val="0"/>
                <w:i w:val="0"/>
                <w:color w:val="132238"/>
                <w:sz w:val="19"/>
              </w:rPr>
              <w:t>Timesheets/attendance</w:t>
            </w:r>
          </w:p>
        </w:tc>
        <w:tc>
          <w:tcPr>
            <w:tcW w:type="dxa" w:w="2200"/>
          </w:tcPr>
          <w:p>
            <w:r>
              <w:rPr>
                <w:rFonts w:ascii="Arial" w:hAnsi="Arial"/>
                <w:b w:val="0"/>
                <w:i w:val="0"/>
                <w:color w:val="56657A"/>
                <w:sz w:val="19"/>
              </w:rPr>
              <w:t>[__ years]</w:t>
            </w:r>
          </w:p>
        </w:tc>
        <w:tc>
          <w:tcPr>
            <w:tcW w:type="dxa" w:w="4560"/>
          </w:tcPr>
          <w:p>
            <w:r>
              <w:rPr>
                <w:rFonts w:ascii="Arial" w:hAnsi="Arial"/>
                <w:b w:val="0"/>
                <w:i w:val="0"/>
                <w:color w:val="56657A"/>
                <w:sz w:val="19"/>
              </w:rPr>
              <w:t>[Employment, payroll or tax basis]</w:t>
            </w:r>
          </w:p>
        </w:tc>
      </w:tr>
      <w:tr>
        <w:tc>
          <w:tcPr>
            <w:tcW w:type="dxa" w:w="2600"/>
          </w:tcPr>
          <w:p>
            <w:r>
              <w:rPr>
                <w:rFonts w:ascii="Arial" w:hAnsi="Arial"/>
                <w:b w:val="0"/>
                <w:i w:val="0"/>
                <w:color w:val="132238"/>
                <w:sz w:val="19"/>
              </w:rPr>
              <w:t>Investigation hold</w:t>
            </w:r>
          </w:p>
        </w:tc>
        <w:tc>
          <w:tcPr>
            <w:tcW w:type="dxa" w:w="2200"/>
          </w:tcPr>
          <w:p>
            <w:r>
              <w:rPr>
                <w:rFonts w:ascii="Arial" w:hAnsi="Arial"/>
                <w:b w:val="0"/>
                <w:i w:val="0"/>
                <w:color w:val="56657A"/>
                <w:sz w:val="19"/>
              </w:rPr>
              <w:t>[Case-specific]</w:t>
            </w:r>
          </w:p>
        </w:tc>
        <w:tc>
          <w:tcPr>
            <w:tcW w:type="dxa" w:w="4560"/>
          </w:tcPr>
          <w:p>
            <w:r>
              <w:rPr>
                <w:rFonts w:ascii="Arial" w:hAnsi="Arial"/>
                <w:b w:val="0"/>
                <w:i w:val="0"/>
                <w:color w:val="56657A"/>
                <w:sz w:val="19"/>
              </w:rPr>
              <w:t>[Approval and closure review]</w:t>
            </w:r>
          </w:p>
        </w:tc>
      </w:tr>
    </w:tbl>
    <w:p>
      <w:pPr>
        <w:spacing w:after="120" w:line="300" w:lineRule="auto"/>
      </w:pPr>
      <w:r>
        <w:rPr>
          <w:rFonts w:ascii="Arial" w:hAnsi="Arial"/>
          <w:b w:val="0"/>
          <w:i w:val="0"/>
          <w:color w:val="132238"/>
          <w:sz w:val="22"/>
        </w:rPr>
        <w:t>Data is deleted or irreversibly anonymised when its approved period ends unless a documented legal obligation, dispute or investigation requires a limited hold.</w:t>
      </w:r>
    </w:p>
    <w:p>
      <w:pPr>
        <w:pStyle w:val="Heading1"/>
        <w:keepNext/>
        <w:spacing w:before="360" w:after="160"/>
      </w:pPr>
      <w:r>
        <w:rPr>
          <w:rFonts w:ascii="Arial" w:hAnsi="Arial"/>
          <w:b/>
          <w:i w:val="0"/>
          <w:color w:val="2374E7"/>
          <w:sz w:val="32"/>
        </w:rPr>
        <w:t>10. Security, providers and international transfers</w:t>
      </w:r>
    </w:p>
    <w:p>
      <w:pPr>
        <w:spacing w:after="120" w:line="300" w:lineRule="auto"/>
      </w:pPr>
      <w:r>
        <w:rPr>
          <w:rFonts w:ascii="Arial" w:hAnsi="Arial"/>
          <w:b w:val="0"/>
          <w:i w:val="0"/>
          <w:color w:val="132238"/>
          <w:sz w:val="22"/>
        </w:rPr>
        <w:t>The Company protects monitoring data using [role-based access, multi-factor authentication, encryption, audit logs, contractual controls and incident response]. Service provider(s): [name, role and link to privacy/security information].</w:t>
      </w:r>
    </w:p>
    <w:p>
      <w:pPr>
        <w:spacing w:after="120" w:line="300" w:lineRule="auto"/>
      </w:pPr>
      <w:r>
        <w:rPr>
          <w:rFonts w:ascii="Arial" w:hAnsi="Arial"/>
          <w:b w:val="0"/>
          <w:i w:val="0"/>
          <w:color w:val="132238"/>
          <w:sz w:val="22"/>
        </w:rPr>
        <w:t>Storage and transfer locations: [locations]. Transfer mechanism or safeguard where required: [details]. Security or privacy incidents should be reported to [contact/process].</w:t>
      </w:r>
    </w:p>
    <w:p>
      <w:pPr>
        <w:pStyle w:val="Heading1"/>
        <w:keepNext/>
        <w:spacing w:before="360" w:after="160"/>
      </w:pPr>
      <w:r>
        <w:rPr>
          <w:rFonts w:ascii="Arial" w:hAnsi="Arial"/>
          <w:b/>
          <w:i w:val="0"/>
          <w:color w:val="2374E7"/>
          <w:sz w:val="32"/>
        </w:rPr>
        <w:t>11. Human review and significant decisions</w:t>
      </w:r>
    </w:p>
    <w:p>
      <w:pPr>
        <w:spacing w:after="120" w:line="300" w:lineRule="auto"/>
      </w:pPr>
      <w:r>
        <w:rPr>
          <w:rFonts w:ascii="Arial" w:hAnsi="Arial"/>
          <w:b w:val="0"/>
          <w:i w:val="0"/>
          <w:color w:val="132238"/>
          <w:sz w:val="22"/>
        </w:rPr>
        <w:t>Monitoring data may be incomplete, misclassified or affected by technical conditions. Before a significant performance, disciplinary or employment decision relies on monitoring information, the Company will verify relevant records, obtain meaningful human review, consider other evidence and give the worker a reasonable opportunity to explain context and challenge inaccuracies.</w:t>
      </w:r>
    </w:p>
    <w:p>
      <w:pPr>
        <w:spacing w:after="120" w:line="300" w:lineRule="auto"/>
      </w:pPr>
      <w:r>
        <w:rPr>
          <w:rFonts w:ascii="Arial" w:hAnsi="Arial"/>
          <w:b w:val="0"/>
          <w:i w:val="0"/>
          <w:color w:val="132238"/>
          <w:sz w:val="22"/>
        </w:rPr>
        <w:t>Solely automated decisions with legal or similarly significant effects are [not used / described here with counsel-approved safeguards and worker rights].</w:t>
      </w:r>
    </w:p>
    <w:p>
      <w:pPr>
        <w:pStyle w:val="Heading1"/>
        <w:keepNext/>
        <w:spacing w:before="360" w:after="160"/>
      </w:pPr>
      <w:r>
        <w:rPr>
          <w:rFonts w:ascii="Arial" w:hAnsi="Arial"/>
          <w:b/>
          <w:i w:val="0"/>
          <w:color w:val="2374E7"/>
          <w:sz w:val="32"/>
        </w:rPr>
        <w:t>12. Worker rights, questions and complaints</w:t>
      </w:r>
    </w:p>
    <w:p>
      <w:pPr>
        <w:spacing w:after="120" w:line="300" w:lineRule="auto"/>
      </w:pPr>
      <w:r>
        <w:rPr>
          <w:rFonts w:ascii="Arial" w:hAnsi="Arial"/>
          <w:b w:val="0"/>
          <w:i w:val="0"/>
          <w:color w:val="132238"/>
          <w:sz w:val="22"/>
        </w:rPr>
        <w:t>Subject to applicable law, workers may ask what data is held about them, request access or correction, raise an objection, challenge a decision or submit a complaint. Contact: [HR/privacy lead, email, postal address and response process].</w:t>
      </w:r>
    </w:p>
    <w:p>
      <w:pPr>
        <w:spacing w:after="120" w:line="300" w:lineRule="auto"/>
      </w:pPr>
      <w:r>
        <w:rPr>
          <w:rFonts w:ascii="Arial" w:hAnsi="Arial"/>
          <w:b w:val="0"/>
          <w:i w:val="0"/>
          <w:color w:val="132238"/>
          <w:sz w:val="22"/>
        </w:rPr>
        <w:t>External regulator, worker representative, union, works council or grievance channels: [insert jurisdiction-specific details]. The Company prohibits retaliation for raising a good-faith concern or exercising a legal right.</w:t>
      </w:r>
    </w:p>
    <w:p>
      <w:pPr>
        <w:pStyle w:val="Heading1"/>
        <w:keepNext/>
        <w:spacing w:before="360" w:after="160"/>
      </w:pPr>
      <w:r>
        <w:rPr>
          <w:rFonts w:ascii="Arial" w:hAnsi="Arial"/>
          <w:b/>
          <w:i w:val="0"/>
          <w:color w:val="2374E7"/>
          <w:sz w:val="32"/>
        </w:rPr>
        <w:t>13. BYOD, homeworking and private activity</w:t>
      </w:r>
    </w:p>
    <w:p>
      <w:pPr>
        <w:spacing w:after="120" w:line="300" w:lineRule="auto"/>
      </w:pPr>
      <w:r>
        <w:rPr>
          <w:rFonts w:ascii="Arial" w:hAnsi="Arial"/>
          <w:b w:val="0"/>
          <w:i w:val="0"/>
          <w:color w:val="132238"/>
          <w:sz w:val="22"/>
        </w:rPr>
        <w:t>Where personal devices are permitted, monitoring is technically limited to [managed work profile / approved application / work account]. The Company does not intend to capture private device use, household-member activity or personal communications. Workers should use [technical separation/process]. A Company device or alternative arrangement is available where [terms].</w:t>
      </w:r>
    </w:p>
    <w:p>
      <w:pPr>
        <w:pStyle w:val="Heading1"/>
        <w:keepNext/>
        <w:spacing w:before="360" w:after="160"/>
      </w:pPr>
      <w:r>
        <w:rPr>
          <w:rFonts w:ascii="Arial" w:hAnsi="Arial"/>
          <w:b/>
          <w:i w:val="0"/>
          <w:color w:val="2374E7"/>
          <w:sz w:val="32"/>
        </w:rPr>
        <w:t>14. Investigations and covert monitoring</w:t>
      </w:r>
    </w:p>
    <w:p>
      <w:pPr>
        <w:spacing w:after="120" w:line="300" w:lineRule="auto"/>
      </w:pPr>
      <w:r>
        <w:rPr>
          <w:rFonts w:ascii="Arial" w:hAnsi="Arial"/>
          <w:b w:val="0"/>
          <w:i w:val="0"/>
          <w:color w:val="132238"/>
          <w:sz w:val="22"/>
        </w:rPr>
        <w:t>This general policy does not authorise covert monitoring. Any proposed exceptional monitoring must receive case-specific written approval from [Legal/Privacy/HR], satisfy applicable law, be limited in scope and duration, and include documented safeguards. Do not use this clause as operational authority without legal advice.</w:t>
      </w:r>
    </w:p>
    <w:p>
      <w:pPr>
        <w:pStyle w:val="Heading1"/>
        <w:keepNext/>
        <w:spacing w:before="360" w:after="160"/>
      </w:pPr>
      <w:r>
        <w:rPr>
          <w:rFonts w:ascii="Arial" w:hAnsi="Arial"/>
          <w:b/>
          <w:i w:val="0"/>
          <w:color w:val="2374E7"/>
          <w:sz w:val="32"/>
        </w:rPr>
        <w:t>15. Accuracy, correction and context</w:t>
      </w:r>
    </w:p>
    <w:p>
      <w:pPr>
        <w:spacing w:after="120" w:line="300" w:lineRule="auto"/>
      </w:pPr>
      <w:r>
        <w:rPr>
          <w:rFonts w:ascii="Arial" w:hAnsi="Arial"/>
          <w:b w:val="0"/>
          <w:i w:val="0"/>
          <w:color w:val="132238"/>
          <w:sz w:val="22"/>
        </w:rPr>
        <w:t>Workers can report inaccurate time, project mapping, website/application classification, screenshots or other records through [process]. Corrections are reviewed by [role] within [timeframe], and consequential decisions are paused where appropriate until material disputes are resolved.</w:t>
      </w:r>
    </w:p>
    <w:p>
      <w:pPr>
        <w:pStyle w:val="Heading1"/>
        <w:keepNext/>
        <w:spacing w:before="360" w:after="160"/>
      </w:pPr>
      <w:r>
        <w:rPr>
          <w:rFonts w:ascii="Arial" w:hAnsi="Arial"/>
          <w:b/>
          <w:i w:val="0"/>
          <w:color w:val="2374E7"/>
          <w:sz w:val="32"/>
        </w:rPr>
        <w:t>16. Training, audit and policy changes</w:t>
      </w:r>
    </w:p>
    <w:p>
      <w:pPr>
        <w:spacing w:after="120" w:line="300" w:lineRule="auto"/>
      </w:pPr>
      <w:r>
        <w:rPr>
          <w:rFonts w:ascii="Arial" w:hAnsi="Arial"/>
          <w:b w:val="0"/>
          <w:i w:val="0"/>
          <w:color w:val="132238"/>
          <w:sz w:val="22"/>
        </w:rPr>
        <w:t>Managers with access will receive training on privacy, security, contextual interpretation and fair decision-making. [Owner] will audit permissions, configuration, access logs, retention and policy accuracy every [period].</w:t>
      </w:r>
    </w:p>
    <w:p>
      <w:pPr>
        <w:spacing w:after="120" w:line="300" w:lineRule="auto"/>
      </w:pPr>
      <w:r>
        <w:rPr>
          <w:rFonts w:ascii="Arial" w:hAnsi="Arial"/>
          <w:b w:val="0"/>
          <w:i w:val="0"/>
          <w:color w:val="132238"/>
          <w:sz w:val="22"/>
        </w:rPr>
        <w:t>Material changes to purpose, data, technology, timing, access or decision use require renewed assessment and any legally required advance notice or consultation. This policy will be reviewed by [date/frequency].</w:t>
      </w:r>
    </w:p>
    <w:p>
      <w:pPr>
        <w:pStyle w:val="Heading1"/>
        <w:keepNext/>
        <w:spacing w:before="360" w:after="160"/>
      </w:pPr>
      <w:r>
        <w:rPr>
          <w:rFonts w:ascii="Arial" w:hAnsi="Arial"/>
          <w:b/>
          <w:i w:val="0"/>
          <w:color w:val="2374E7"/>
          <w:sz w:val="32"/>
        </w:rPr>
        <w:t>17. Acknowledgement of receipt</w:t>
      </w:r>
    </w:p>
    <w:p>
      <w:pPr>
        <w:spacing w:after="120" w:line="300" w:lineRule="auto"/>
      </w:pPr>
      <w:r>
        <w:rPr>
          <w:rFonts w:ascii="Arial" w:hAnsi="Arial"/>
          <w:b w:val="0"/>
          <w:i w:val="0"/>
          <w:color w:val="132238"/>
          <w:sz w:val="22"/>
        </w:rPr>
        <w:t>I acknowledge that I received and had the opportunity to read this Employee Monitoring Policy and ask questions. This acknowledgement records receipt and understanding. It is not automatically consent, a contractual amendment or a waiver of statutory or contractual rights.</w:t>
      </w:r>
    </w:p>
    <w:tbl>
      <w:tblPr>
        <w:tblStyle w:val="TableGrid"/>
        <w:tblW w:type="dxa" w:w="9360"/>
        <w:jc w:val="left"/>
        <w:tblLayout w:type="fixed"/>
        <w:tblLook w:firstColumn="1" w:firstRow="1" w:lastColumn="0" w:lastRow="0" w:noHBand="0" w:noVBand="1" w:val="04A0"/>
        <w:tblInd w:w="120" w:type="dxa"/>
      </w:tblPr>
      <w:tblGrid>
        <w:gridCol w:w="2700"/>
        <w:gridCol w:w="6660"/>
      </w:tblGrid>
      <w:tr>
        <w:tc>
          <w:tcPr>
            <w:tcW w:type="dxa" w:w="2700"/>
            <w:vAlign w:val="center"/>
            <w:shd w:fill="EEF5FF"/>
          </w:tcPr>
          <w:p>
            <w:pPr>
              <w:spacing w:after="0"/>
            </w:pPr>
            <w:r>
              <w:rPr>
                <w:rFonts w:ascii="Arial" w:hAnsi="Arial"/>
                <w:b/>
                <w:i w:val="0"/>
                <w:color w:val="145CC4"/>
                <w:sz w:val="22"/>
              </w:rPr>
              <w:t>Worker name</w:t>
            </w:r>
          </w:p>
        </w:tc>
        <w:tc>
          <w:tcPr>
            <w:tcW w:type="dxa" w:w="6660"/>
            <w:vAlign w:val="center"/>
          </w:tcPr>
          <w:p>
            <w:pPr>
              <w:spacing w:after="0"/>
            </w:pPr>
            <w:r>
              <w:rPr>
                <w:rFonts w:ascii="Arial" w:hAnsi="Arial"/>
                <w:b w:val="0"/>
                <w:i w:val="0"/>
                <w:color w:val="56657A"/>
                <w:sz w:val="22"/>
              </w:rPr>
              <w:t>[Full name]</w:t>
            </w:r>
          </w:p>
        </w:tc>
      </w:tr>
      <w:tr>
        <w:tc>
          <w:tcPr>
            <w:tcW w:type="dxa" w:w="2700"/>
            <w:vAlign w:val="center"/>
            <w:shd w:fill="EEF5FF"/>
          </w:tcPr>
          <w:p>
            <w:pPr>
              <w:spacing w:after="0"/>
            </w:pPr>
            <w:r>
              <w:rPr>
                <w:rFonts w:ascii="Arial" w:hAnsi="Arial"/>
                <w:b/>
                <w:i w:val="0"/>
                <w:color w:val="145CC4"/>
                <w:sz w:val="22"/>
              </w:rPr>
              <w:t>Signature</w:t>
            </w:r>
          </w:p>
        </w:tc>
        <w:tc>
          <w:tcPr>
            <w:tcW w:type="dxa" w:w="6660"/>
            <w:vAlign w:val="center"/>
          </w:tcPr>
          <w:p>
            <w:pPr>
              <w:spacing w:after="0"/>
            </w:pPr>
            <w:r>
              <w:rPr>
                <w:rFonts w:ascii="Arial" w:hAnsi="Arial"/>
                <w:b w:val="0"/>
                <w:i w:val="0"/>
                <w:color w:val="56657A"/>
                <w:sz w:val="22"/>
              </w:rPr>
              <w:t>[Signature or approved electronic acknowledgement]</w:t>
            </w:r>
          </w:p>
        </w:tc>
      </w:tr>
      <w:tr>
        <w:tc>
          <w:tcPr>
            <w:tcW w:type="dxa" w:w="2700"/>
            <w:vAlign w:val="center"/>
            <w:shd w:fill="EEF5FF"/>
          </w:tcPr>
          <w:p>
            <w:pPr>
              <w:spacing w:after="0"/>
            </w:pPr>
            <w:r>
              <w:rPr>
                <w:rFonts w:ascii="Arial" w:hAnsi="Arial"/>
                <w:b/>
                <w:i w:val="0"/>
                <w:color w:val="145CC4"/>
                <w:sz w:val="22"/>
              </w:rPr>
              <w:t>Date</w:t>
            </w:r>
          </w:p>
        </w:tc>
        <w:tc>
          <w:tcPr>
            <w:tcW w:type="dxa" w:w="6660"/>
            <w:vAlign w:val="center"/>
          </w:tcPr>
          <w:p>
            <w:pPr>
              <w:spacing w:after="0"/>
            </w:pPr>
            <w:r>
              <w:rPr>
                <w:rFonts w:ascii="Arial" w:hAnsi="Arial"/>
                <w:b w:val="0"/>
                <w:i w:val="0"/>
                <w:color w:val="56657A"/>
                <w:sz w:val="22"/>
              </w:rPr>
              <w:t>[DD Month YYYY]</w:t>
            </w:r>
          </w:p>
        </w:tc>
      </w:tr>
      <w:tr>
        <w:tc>
          <w:tcPr>
            <w:tcW w:type="dxa" w:w="2700"/>
            <w:vAlign w:val="center"/>
            <w:shd w:fill="EEF5FF"/>
          </w:tcPr>
          <w:p>
            <w:pPr>
              <w:spacing w:after="0"/>
            </w:pPr>
            <w:r>
              <w:rPr>
                <w:rFonts w:ascii="Arial" w:hAnsi="Arial"/>
                <w:b/>
                <w:i w:val="0"/>
                <w:color w:val="145CC4"/>
                <w:sz w:val="22"/>
              </w:rPr>
              <w:t>Questions/notes</w:t>
            </w:r>
          </w:p>
        </w:tc>
        <w:tc>
          <w:tcPr>
            <w:tcW w:type="dxa" w:w="6660"/>
            <w:vAlign w:val="center"/>
          </w:tcPr>
          <w:p>
            <w:pPr>
              <w:spacing w:after="0"/>
            </w:pPr>
            <w:r>
              <w:rPr>
                <w:rFonts w:ascii="Arial" w:hAnsi="Arial"/>
                <w:b w:val="0"/>
                <w:i w:val="0"/>
                <w:color w:val="56657A"/>
                <w:sz w:val="22"/>
              </w:rPr>
              <w:t>[Optional]</w:t>
            </w:r>
          </w:p>
        </w:tc>
      </w:tr>
    </w:tbl>
    <w:p>
      <w:pPr>
        <w:spacing w:after="0"/>
      </w:pPr>
    </w:p>
    <w:p>
      <w:pPr>
        <w:sectPr>
          <w:headerReference w:type="default" r:id="rId9"/>
          <w:footerReference w:type="default" r:id="rId10"/>
          <w:pgSz w:w="12240" w:h="15840"/>
          <w:pgMar w:top="1080" w:right="1224" w:bottom="1080" w:left="1224" w:header="504" w:footer="504" w:gutter="0"/>
          <w:cols w:space="720"/>
          <w:docGrid w:linePitch="360"/>
        </w:sectPr>
      </w:pPr>
    </w:p>
    <w:p>
      <w:pPr>
        <w:pStyle w:val="Heading1"/>
        <w:keepNext/>
        <w:spacing w:before="360" w:after="160"/>
      </w:pPr>
      <w:r>
        <w:rPr>
          <w:rFonts w:ascii="Arial" w:hAnsi="Arial"/>
          <w:b/>
          <w:i w:val="0"/>
          <w:color w:val="2374E7"/>
          <w:sz w:val="32"/>
        </w:rPr>
        <w:t>Appendix A - Legal-review checklist</w:t>
      </w:r>
    </w:p>
    <w:p>
      <w:pPr>
        <w:pStyle w:val="ListBullet"/>
        <w:spacing w:after="80" w:line="300" w:lineRule="auto"/>
      </w:pPr>
      <w:r>
        <w:rPr>
          <w:rFonts w:ascii="Arial" w:hAnsi="Arial"/>
          <w:b w:val="0"/>
          <w:i w:val="0"/>
          <w:color w:val="132238"/>
          <w:sz w:val="22"/>
        </w:rPr>
        <w:t>[ ] All worker locations and applicable employment, privacy and sector regimes are mapped.</w:t>
      </w:r>
    </w:p>
    <w:p>
      <w:pPr>
        <w:pStyle w:val="ListBullet"/>
        <w:spacing w:after="80" w:line="300" w:lineRule="auto"/>
      </w:pPr>
      <w:r>
        <w:rPr>
          <w:rFonts w:ascii="Arial" w:hAnsi="Arial"/>
          <w:b w:val="0"/>
          <w:i w:val="0"/>
          <w:color w:val="132238"/>
          <w:sz w:val="22"/>
        </w:rPr>
        <w:t>[ ] The exact production configuration and every data field have been inventoried.</w:t>
      </w:r>
    </w:p>
    <w:p>
      <w:pPr>
        <w:pStyle w:val="ListBullet"/>
        <w:spacing w:after="80" w:line="300" w:lineRule="auto"/>
      </w:pPr>
      <w:r>
        <w:rPr>
          <w:rFonts w:ascii="Arial" w:hAnsi="Arial"/>
          <w:b w:val="0"/>
          <w:i w:val="0"/>
          <w:color w:val="132238"/>
          <w:sz w:val="22"/>
        </w:rPr>
        <w:t>[ ] Purpose, necessity, proportionality and less intrusive alternatives are documented.</w:t>
      </w:r>
    </w:p>
    <w:p>
      <w:pPr>
        <w:pStyle w:val="ListBullet"/>
        <w:spacing w:after="80" w:line="300" w:lineRule="auto"/>
      </w:pPr>
      <w:r>
        <w:rPr>
          <w:rFonts w:ascii="Arial" w:hAnsi="Arial"/>
          <w:b w:val="0"/>
          <w:i w:val="0"/>
          <w:color w:val="132238"/>
          <w:sz w:val="22"/>
        </w:rPr>
        <w:t>[ ] A valid legal ground and any special-category condition are documented where required.</w:t>
      </w:r>
    </w:p>
    <w:p>
      <w:pPr>
        <w:pStyle w:val="ListBullet"/>
        <w:spacing w:after="80" w:line="300" w:lineRule="auto"/>
      </w:pPr>
      <w:r>
        <w:rPr>
          <w:rFonts w:ascii="Arial" w:hAnsi="Arial"/>
          <w:b w:val="0"/>
          <w:i w:val="0"/>
          <w:color w:val="132238"/>
          <w:sz w:val="22"/>
        </w:rPr>
        <w:t>[ ] DPIA/privacy impact assessment requirements are satisfied or the rationale is recorded.</w:t>
      </w:r>
    </w:p>
    <w:p>
      <w:pPr>
        <w:pStyle w:val="ListBullet"/>
        <w:spacing w:after="80" w:line="300" w:lineRule="auto"/>
      </w:pPr>
      <w:r>
        <w:rPr>
          <w:rFonts w:ascii="Arial" w:hAnsi="Arial"/>
          <w:b w:val="0"/>
          <w:i w:val="0"/>
          <w:color w:val="132238"/>
          <w:sz w:val="22"/>
        </w:rPr>
        <w:t>[ ] Advance notice, consultation, union, works-council and collective-agreement duties are satisfied.</w:t>
      </w:r>
    </w:p>
    <w:p>
      <w:pPr>
        <w:pStyle w:val="ListBullet"/>
        <w:spacing w:after="80" w:line="300" w:lineRule="auto"/>
      </w:pPr>
      <w:r>
        <w:rPr>
          <w:rFonts w:ascii="Arial" w:hAnsi="Arial"/>
          <w:b w:val="0"/>
          <w:i w:val="0"/>
          <w:color w:val="132238"/>
          <w:sz w:val="22"/>
        </w:rPr>
        <w:t>[ ] BYOD, homeworking, personal communications and household-member risks are controlled.</w:t>
      </w:r>
    </w:p>
    <w:p>
      <w:pPr>
        <w:pStyle w:val="ListBullet"/>
        <w:spacing w:after="80" w:line="300" w:lineRule="auto"/>
      </w:pPr>
      <w:r>
        <w:rPr>
          <w:rFonts w:ascii="Arial" w:hAnsi="Arial"/>
          <w:b w:val="0"/>
          <w:i w:val="0"/>
          <w:color w:val="132238"/>
          <w:sz w:val="22"/>
        </w:rPr>
        <w:t>[ ] Young-worker, biometric, health, union and other sensitive-data risks are excluded or reviewed.</w:t>
      </w:r>
    </w:p>
    <w:p>
      <w:pPr>
        <w:pStyle w:val="ListBullet"/>
        <w:spacing w:after="80" w:line="300" w:lineRule="auto"/>
      </w:pPr>
      <w:r>
        <w:rPr>
          <w:rFonts w:ascii="Arial" w:hAnsi="Arial"/>
          <w:b w:val="0"/>
          <w:i w:val="0"/>
          <w:color w:val="132238"/>
          <w:sz w:val="22"/>
        </w:rPr>
        <w:t>[ ] Provider contracts, security, subprocessors and international transfers are reviewed.</w:t>
      </w:r>
    </w:p>
    <w:p>
      <w:pPr>
        <w:pStyle w:val="ListBullet"/>
        <w:spacing w:after="80" w:line="300" w:lineRule="auto"/>
      </w:pPr>
      <w:r>
        <w:rPr>
          <w:rFonts w:ascii="Arial" w:hAnsi="Arial"/>
          <w:b w:val="0"/>
          <w:i w:val="0"/>
          <w:color w:val="132238"/>
          <w:sz w:val="22"/>
        </w:rPr>
        <w:t>[ ] Retention periods are justified by data category and technically implemented.</w:t>
      </w:r>
    </w:p>
    <w:p>
      <w:pPr>
        <w:pStyle w:val="ListBullet"/>
        <w:spacing w:after="80" w:line="300" w:lineRule="auto"/>
      </w:pPr>
      <w:r>
        <w:rPr>
          <w:rFonts w:ascii="Arial" w:hAnsi="Arial"/>
          <w:b w:val="0"/>
          <w:i w:val="0"/>
          <w:color w:val="132238"/>
          <w:sz w:val="22"/>
        </w:rPr>
        <w:t>[ ] Worker access, correction, complaint and human-review procedures are operational.</w:t>
      </w:r>
    </w:p>
    <w:p>
      <w:pPr>
        <w:pStyle w:val="ListBullet"/>
        <w:spacing w:after="80" w:line="300" w:lineRule="auto"/>
      </w:pPr>
      <w:r>
        <w:rPr>
          <w:rFonts w:ascii="Arial" w:hAnsi="Arial"/>
          <w:b w:val="0"/>
          <w:i w:val="0"/>
          <w:color w:val="132238"/>
          <w:sz w:val="22"/>
        </w:rPr>
        <w:t>[ ] The policy matches the final technical settings and manager permissions.</w:t>
      </w:r>
    </w:p>
    <w:p>
      <w:pPr>
        <w:spacing w:after="120" w:line="300" w:lineRule="auto"/>
      </w:pPr>
      <w:r>
        <w:rPr>
          <w:rFonts w:ascii="Arial" w:hAnsi="Arial"/>
          <w:b w:val="0"/>
          <w:i w:val="0"/>
          <w:color w:val="132238"/>
          <w:sz w:val="22"/>
        </w:rPr>
        <w:t>Legal reviewer: [name/firm]   Jurisdiction(s): [list]   Review date: [date]   Approved version: [version]</w:t>
      </w:r>
    </w:p>
    <w:p>
      <w:pPr>
        <w:pStyle w:val="Heading1"/>
        <w:keepNext/>
        <w:spacing w:before="360" w:after="160"/>
      </w:pPr>
      <w:r>
        <w:rPr>
          <w:rFonts w:ascii="Arial" w:hAnsi="Arial"/>
          <w:b/>
          <w:i w:val="0"/>
          <w:color w:val="2374E7"/>
          <w:sz w:val="32"/>
        </w:rPr>
        <w:t>Appendix B - Transparent rollout checklist</w:t>
      </w:r>
    </w:p>
    <w:p>
      <w:pPr>
        <w:pStyle w:val="ListBullet"/>
        <w:spacing w:after="80" w:line="300" w:lineRule="auto"/>
      </w:pPr>
      <w:r>
        <w:rPr>
          <w:rFonts w:ascii="Arial" w:hAnsi="Arial"/>
          <w:b w:val="0"/>
          <w:i w:val="0"/>
          <w:color w:val="132238"/>
          <w:sz w:val="22"/>
        </w:rPr>
        <w:t>[ ] Explain the operational problem and intended benefit before presenting the tool.</w:t>
      </w:r>
    </w:p>
    <w:p>
      <w:pPr>
        <w:pStyle w:val="ListBullet"/>
        <w:spacing w:after="80" w:line="300" w:lineRule="auto"/>
      </w:pPr>
      <w:r>
        <w:rPr>
          <w:rFonts w:ascii="Arial" w:hAnsi="Arial"/>
          <w:b w:val="0"/>
          <w:i w:val="0"/>
          <w:color w:val="132238"/>
          <w:sz w:val="22"/>
        </w:rPr>
        <w:t>[ ] Show workers exactly what is and is not collected using real configuration screens.</w:t>
      </w:r>
    </w:p>
    <w:p>
      <w:pPr>
        <w:pStyle w:val="ListBullet"/>
        <w:spacing w:after="80" w:line="300" w:lineRule="auto"/>
      </w:pPr>
      <w:r>
        <w:rPr>
          <w:rFonts w:ascii="Arial" w:hAnsi="Arial"/>
          <w:b w:val="0"/>
          <w:i w:val="0"/>
          <w:color w:val="132238"/>
          <w:sz w:val="22"/>
        </w:rPr>
        <w:t>[ ] Demonstrate start, stop, pause, break and personal-time controls.</w:t>
      </w:r>
    </w:p>
    <w:p>
      <w:pPr>
        <w:pStyle w:val="ListBullet"/>
        <w:spacing w:after="80" w:line="300" w:lineRule="auto"/>
      </w:pPr>
      <w:r>
        <w:rPr>
          <w:rFonts w:ascii="Arial" w:hAnsi="Arial"/>
          <w:b w:val="0"/>
          <w:i w:val="0"/>
          <w:color w:val="132238"/>
          <w:sz w:val="22"/>
        </w:rPr>
        <w:t>[ ] Provide the approved policy and privacy information before monitoring begins.</w:t>
      </w:r>
    </w:p>
    <w:p>
      <w:pPr>
        <w:pStyle w:val="ListBullet"/>
        <w:spacing w:after="80" w:line="300" w:lineRule="auto"/>
      </w:pPr>
      <w:r>
        <w:rPr>
          <w:rFonts w:ascii="Arial" w:hAnsi="Arial"/>
          <w:b w:val="0"/>
          <w:i w:val="0"/>
          <w:color w:val="132238"/>
          <w:sz w:val="22"/>
        </w:rPr>
        <w:t>[ ] Offer a real question, correction and grievance route.</w:t>
      </w:r>
    </w:p>
    <w:p>
      <w:pPr>
        <w:pStyle w:val="ListBullet"/>
        <w:spacing w:after="80" w:line="300" w:lineRule="auto"/>
      </w:pPr>
      <w:r>
        <w:rPr>
          <w:rFonts w:ascii="Arial" w:hAnsi="Arial"/>
          <w:b w:val="0"/>
          <w:i w:val="0"/>
          <w:color w:val="132238"/>
          <w:sz w:val="22"/>
        </w:rPr>
        <w:t>[ ] Train managers not to treat activity metrics as self-explanatory performance scores.</w:t>
      </w:r>
    </w:p>
    <w:p>
      <w:pPr>
        <w:pStyle w:val="ListBullet"/>
        <w:spacing w:after="80" w:line="300" w:lineRule="auto"/>
      </w:pPr>
      <w:r>
        <w:rPr>
          <w:rFonts w:ascii="Arial" w:hAnsi="Arial"/>
          <w:b w:val="0"/>
          <w:i w:val="0"/>
          <w:color w:val="132238"/>
          <w:sz w:val="22"/>
        </w:rPr>
        <w:t>[ ] Pilot with a representative group and document concerns and responses.</w:t>
      </w:r>
    </w:p>
    <w:p>
      <w:pPr>
        <w:pStyle w:val="ListBullet"/>
        <w:spacing w:after="80" w:line="300" w:lineRule="auto"/>
      </w:pPr>
      <w:r>
        <w:rPr>
          <w:rFonts w:ascii="Arial" w:hAnsi="Arial"/>
          <w:b w:val="0"/>
          <w:i w:val="0"/>
          <w:color w:val="132238"/>
          <w:sz w:val="22"/>
        </w:rPr>
        <w:t>[ ] Audit permissions, retention, configuration and access logs after launch.</w:t>
      </w:r>
    </w:p>
    <w:p>
      <w:pPr>
        <w:pStyle w:val="Heading1"/>
        <w:keepNext/>
        <w:spacing w:before="360" w:after="160"/>
      </w:pPr>
      <w:r>
        <w:rPr>
          <w:rFonts w:ascii="Arial" w:hAnsi="Arial"/>
          <w:b/>
          <w:i w:val="0"/>
          <w:color w:val="2374E7"/>
          <w:sz w:val="32"/>
        </w:rPr>
        <w:t>Appendix C - Monitoring register</w:t>
      </w:r>
    </w:p>
    <w:tbl>
      <w:tblPr>
        <w:tblStyle w:val="TableGrid"/>
        <w:tblW w:type="dxa" w:w="9360"/>
        <w:tblLayout w:type="fixed"/>
        <w:tblLook w:firstColumn="1" w:firstRow="1" w:lastColumn="0" w:lastRow="0" w:noHBand="0" w:noVBand="1" w:val="04A0"/>
        <w:tblInd w:w="120" w:type="dxa"/>
      </w:tblPr>
      <w:tblGrid>
        <w:gridCol w:w="1650"/>
        <w:gridCol w:w="2100"/>
        <w:gridCol w:w="2100"/>
        <w:gridCol w:w="1650"/>
        <w:gridCol w:w="1860"/>
      </w:tblGrid>
      <w:tr>
        <w:tc>
          <w:tcPr>
            <w:tcW w:type="dxa" w:w="1650"/>
            <w:shd w:fill="2374E7"/>
          </w:tcPr>
          <w:p>
            <w:r>
              <w:rPr>
                <w:rFonts w:ascii="Arial" w:hAnsi="Arial"/>
                <w:b/>
                <w:i w:val="0"/>
                <w:color w:val="FFFFFF"/>
                <w:sz w:val="18"/>
              </w:rPr>
              <w:t>Data</w:t>
            </w:r>
          </w:p>
        </w:tc>
        <w:tc>
          <w:tcPr>
            <w:tcW w:type="dxa" w:w="2100"/>
            <w:shd w:fill="2374E7"/>
          </w:tcPr>
          <w:p>
            <w:r>
              <w:rPr>
                <w:rFonts w:ascii="Arial" w:hAnsi="Arial"/>
                <w:b/>
                <w:i w:val="0"/>
                <w:color w:val="FFFFFF"/>
                <w:sz w:val="18"/>
              </w:rPr>
              <w:t>Purpose</w:t>
            </w:r>
          </w:p>
        </w:tc>
        <w:tc>
          <w:tcPr>
            <w:tcW w:type="dxa" w:w="2100"/>
            <w:shd w:fill="2374E7"/>
          </w:tcPr>
          <w:p>
            <w:r>
              <w:rPr>
                <w:rFonts w:ascii="Arial" w:hAnsi="Arial"/>
                <w:b/>
                <w:i w:val="0"/>
                <w:color w:val="FFFFFF"/>
                <w:sz w:val="18"/>
              </w:rPr>
              <w:t>Source/timing</w:t>
            </w:r>
          </w:p>
        </w:tc>
        <w:tc>
          <w:tcPr>
            <w:tcW w:type="dxa" w:w="1650"/>
            <w:shd w:fill="2374E7"/>
          </w:tcPr>
          <w:p>
            <w:r>
              <w:rPr>
                <w:rFonts w:ascii="Arial" w:hAnsi="Arial"/>
                <w:b/>
                <w:i w:val="0"/>
                <w:color w:val="FFFFFF"/>
                <w:sz w:val="18"/>
              </w:rPr>
              <w:t>Access</w:t>
            </w:r>
          </w:p>
        </w:tc>
        <w:tc>
          <w:tcPr>
            <w:tcW w:type="dxa" w:w="1860"/>
            <w:shd w:fill="2374E7"/>
          </w:tcPr>
          <w:p>
            <w:r>
              <w:rPr>
                <w:rFonts w:ascii="Arial" w:hAnsi="Arial"/>
                <w:b/>
                <w:i w:val="0"/>
                <w:color w:val="FFFFFF"/>
                <w:sz w:val="18"/>
              </w:rPr>
              <w:t>Retention</w:t>
            </w:r>
          </w:p>
        </w:tc>
      </w:tr>
      <w:tr>
        <w:tc>
          <w:tcPr>
            <w:tcW w:type="dxa" w:w="1650"/>
          </w:tcPr>
          <w:p>
            <w:r>
              <w:rPr>
                <w:rFonts w:ascii="Arial" w:hAnsi="Arial"/>
                <w:b w:val="0"/>
                <w:i w:val="0"/>
                <w:color w:val="56657A"/>
                <w:sz w:val="17"/>
              </w:rPr>
              <w:t>[Complete]</w:t>
            </w:r>
          </w:p>
        </w:tc>
        <w:tc>
          <w:tcPr>
            <w:tcW w:type="dxa" w:w="2100"/>
          </w:tcPr>
          <w:p>
            <w:r>
              <w:rPr>
                <w:rFonts w:ascii="Arial" w:hAnsi="Arial"/>
                <w:b w:val="0"/>
                <w:i w:val="0"/>
                <w:color w:val="56657A"/>
                <w:sz w:val="17"/>
              </w:rPr>
              <w:t>[Complete]</w:t>
            </w:r>
          </w:p>
        </w:tc>
        <w:tc>
          <w:tcPr>
            <w:tcW w:type="dxa" w:w="2100"/>
          </w:tcPr>
          <w:p>
            <w:r>
              <w:rPr>
                <w:rFonts w:ascii="Arial" w:hAnsi="Arial"/>
                <w:b w:val="0"/>
                <w:i w:val="0"/>
                <w:color w:val="56657A"/>
                <w:sz w:val="17"/>
              </w:rPr>
              <w:t>[Complete]</w:t>
            </w:r>
          </w:p>
        </w:tc>
        <w:tc>
          <w:tcPr>
            <w:tcW w:type="dxa" w:w="1650"/>
          </w:tcPr>
          <w:p>
            <w:r>
              <w:rPr>
                <w:rFonts w:ascii="Arial" w:hAnsi="Arial"/>
                <w:b w:val="0"/>
                <w:i w:val="0"/>
                <w:color w:val="56657A"/>
                <w:sz w:val="17"/>
              </w:rPr>
              <w:t>[Complete]</w:t>
            </w:r>
          </w:p>
        </w:tc>
        <w:tc>
          <w:tcPr>
            <w:tcW w:type="dxa" w:w="1860"/>
          </w:tcPr>
          <w:p>
            <w:r>
              <w:rPr>
                <w:rFonts w:ascii="Arial" w:hAnsi="Arial"/>
                <w:b w:val="0"/>
                <w:i w:val="0"/>
                <w:color w:val="56657A"/>
                <w:sz w:val="17"/>
              </w:rPr>
              <w:t>[Complete]</w:t>
            </w:r>
          </w:p>
        </w:tc>
      </w:tr>
      <w:tr>
        <w:tc>
          <w:tcPr>
            <w:tcW w:type="dxa" w:w="1650"/>
          </w:tcPr>
          <w:p>
            <w:r>
              <w:rPr>
                <w:rFonts w:ascii="Arial" w:hAnsi="Arial"/>
                <w:b w:val="0"/>
                <w:i w:val="0"/>
                <w:color w:val="56657A"/>
                <w:sz w:val="17"/>
              </w:rPr>
              <w:t>[Complete]</w:t>
            </w:r>
          </w:p>
        </w:tc>
        <w:tc>
          <w:tcPr>
            <w:tcW w:type="dxa" w:w="2100"/>
          </w:tcPr>
          <w:p>
            <w:r>
              <w:rPr>
                <w:rFonts w:ascii="Arial" w:hAnsi="Arial"/>
                <w:b w:val="0"/>
                <w:i w:val="0"/>
                <w:color w:val="56657A"/>
                <w:sz w:val="17"/>
              </w:rPr>
              <w:t>[Complete]</w:t>
            </w:r>
          </w:p>
        </w:tc>
        <w:tc>
          <w:tcPr>
            <w:tcW w:type="dxa" w:w="2100"/>
          </w:tcPr>
          <w:p>
            <w:r>
              <w:rPr>
                <w:rFonts w:ascii="Arial" w:hAnsi="Arial"/>
                <w:b w:val="0"/>
                <w:i w:val="0"/>
                <w:color w:val="56657A"/>
                <w:sz w:val="17"/>
              </w:rPr>
              <w:t>[Complete]</w:t>
            </w:r>
          </w:p>
        </w:tc>
        <w:tc>
          <w:tcPr>
            <w:tcW w:type="dxa" w:w="1650"/>
          </w:tcPr>
          <w:p>
            <w:r>
              <w:rPr>
                <w:rFonts w:ascii="Arial" w:hAnsi="Arial"/>
                <w:b w:val="0"/>
                <w:i w:val="0"/>
                <w:color w:val="56657A"/>
                <w:sz w:val="17"/>
              </w:rPr>
              <w:t>[Complete]</w:t>
            </w:r>
          </w:p>
        </w:tc>
        <w:tc>
          <w:tcPr>
            <w:tcW w:type="dxa" w:w="1860"/>
          </w:tcPr>
          <w:p>
            <w:r>
              <w:rPr>
                <w:rFonts w:ascii="Arial" w:hAnsi="Arial"/>
                <w:b w:val="0"/>
                <w:i w:val="0"/>
                <w:color w:val="56657A"/>
                <w:sz w:val="17"/>
              </w:rPr>
              <w:t>[Complete]</w:t>
            </w:r>
          </w:p>
        </w:tc>
      </w:tr>
      <w:tr>
        <w:tc>
          <w:tcPr>
            <w:tcW w:type="dxa" w:w="1650"/>
          </w:tcPr>
          <w:p>
            <w:r>
              <w:rPr>
                <w:rFonts w:ascii="Arial" w:hAnsi="Arial"/>
                <w:b w:val="0"/>
                <w:i w:val="0"/>
                <w:color w:val="56657A"/>
                <w:sz w:val="17"/>
              </w:rPr>
              <w:t>[Complete]</w:t>
            </w:r>
          </w:p>
        </w:tc>
        <w:tc>
          <w:tcPr>
            <w:tcW w:type="dxa" w:w="2100"/>
          </w:tcPr>
          <w:p>
            <w:r>
              <w:rPr>
                <w:rFonts w:ascii="Arial" w:hAnsi="Arial"/>
                <w:b w:val="0"/>
                <w:i w:val="0"/>
                <w:color w:val="56657A"/>
                <w:sz w:val="17"/>
              </w:rPr>
              <w:t>[Complete]</w:t>
            </w:r>
          </w:p>
        </w:tc>
        <w:tc>
          <w:tcPr>
            <w:tcW w:type="dxa" w:w="2100"/>
          </w:tcPr>
          <w:p>
            <w:r>
              <w:rPr>
                <w:rFonts w:ascii="Arial" w:hAnsi="Arial"/>
                <w:b w:val="0"/>
                <w:i w:val="0"/>
                <w:color w:val="56657A"/>
                <w:sz w:val="17"/>
              </w:rPr>
              <w:t>[Complete]</w:t>
            </w:r>
          </w:p>
        </w:tc>
        <w:tc>
          <w:tcPr>
            <w:tcW w:type="dxa" w:w="1650"/>
          </w:tcPr>
          <w:p>
            <w:r>
              <w:rPr>
                <w:rFonts w:ascii="Arial" w:hAnsi="Arial"/>
                <w:b w:val="0"/>
                <w:i w:val="0"/>
                <w:color w:val="56657A"/>
                <w:sz w:val="17"/>
              </w:rPr>
              <w:t>[Complete]</w:t>
            </w:r>
          </w:p>
        </w:tc>
        <w:tc>
          <w:tcPr>
            <w:tcW w:type="dxa" w:w="1860"/>
          </w:tcPr>
          <w:p>
            <w:r>
              <w:rPr>
                <w:rFonts w:ascii="Arial" w:hAnsi="Arial"/>
                <w:b w:val="0"/>
                <w:i w:val="0"/>
                <w:color w:val="56657A"/>
                <w:sz w:val="17"/>
              </w:rPr>
              <w:t>[Complete]</w:t>
            </w:r>
          </w:p>
        </w:tc>
      </w:tr>
      <w:tr>
        <w:tc>
          <w:tcPr>
            <w:tcW w:type="dxa" w:w="1650"/>
          </w:tcPr>
          <w:p>
            <w:r>
              <w:rPr>
                <w:rFonts w:ascii="Arial" w:hAnsi="Arial"/>
                <w:b w:val="0"/>
                <w:i w:val="0"/>
                <w:color w:val="56657A"/>
                <w:sz w:val="17"/>
              </w:rPr>
              <w:t>[Complete]</w:t>
            </w:r>
          </w:p>
        </w:tc>
        <w:tc>
          <w:tcPr>
            <w:tcW w:type="dxa" w:w="2100"/>
          </w:tcPr>
          <w:p>
            <w:r>
              <w:rPr>
                <w:rFonts w:ascii="Arial" w:hAnsi="Arial"/>
                <w:b w:val="0"/>
                <w:i w:val="0"/>
                <w:color w:val="56657A"/>
                <w:sz w:val="17"/>
              </w:rPr>
              <w:t>[Complete]</w:t>
            </w:r>
          </w:p>
        </w:tc>
        <w:tc>
          <w:tcPr>
            <w:tcW w:type="dxa" w:w="2100"/>
          </w:tcPr>
          <w:p>
            <w:r>
              <w:rPr>
                <w:rFonts w:ascii="Arial" w:hAnsi="Arial"/>
                <w:b w:val="0"/>
                <w:i w:val="0"/>
                <w:color w:val="56657A"/>
                <w:sz w:val="17"/>
              </w:rPr>
              <w:t>[Complete]</w:t>
            </w:r>
          </w:p>
        </w:tc>
        <w:tc>
          <w:tcPr>
            <w:tcW w:type="dxa" w:w="1650"/>
          </w:tcPr>
          <w:p>
            <w:r>
              <w:rPr>
                <w:rFonts w:ascii="Arial" w:hAnsi="Arial"/>
                <w:b w:val="0"/>
                <w:i w:val="0"/>
                <w:color w:val="56657A"/>
                <w:sz w:val="17"/>
              </w:rPr>
              <w:t>[Complete]</w:t>
            </w:r>
          </w:p>
        </w:tc>
        <w:tc>
          <w:tcPr>
            <w:tcW w:type="dxa" w:w="1860"/>
          </w:tcPr>
          <w:p>
            <w:r>
              <w:rPr>
                <w:rFonts w:ascii="Arial" w:hAnsi="Arial"/>
                <w:b w:val="0"/>
                <w:i w:val="0"/>
                <w:color w:val="56657A"/>
                <w:sz w:val="17"/>
              </w:rPr>
              <w:t>[Complete]</w:t>
            </w:r>
          </w:p>
        </w:tc>
      </w:tr>
      <w:tr>
        <w:tc>
          <w:tcPr>
            <w:tcW w:type="dxa" w:w="1650"/>
          </w:tcPr>
          <w:p>
            <w:r>
              <w:rPr>
                <w:rFonts w:ascii="Arial" w:hAnsi="Arial"/>
                <w:b w:val="0"/>
                <w:i w:val="0"/>
                <w:color w:val="56657A"/>
                <w:sz w:val="17"/>
              </w:rPr>
              <w:t>[Complete]</w:t>
            </w:r>
          </w:p>
        </w:tc>
        <w:tc>
          <w:tcPr>
            <w:tcW w:type="dxa" w:w="2100"/>
          </w:tcPr>
          <w:p>
            <w:r>
              <w:rPr>
                <w:rFonts w:ascii="Arial" w:hAnsi="Arial"/>
                <w:b w:val="0"/>
                <w:i w:val="0"/>
                <w:color w:val="56657A"/>
                <w:sz w:val="17"/>
              </w:rPr>
              <w:t>[Complete]</w:t>
            </w:r>
          </w:p>
        </w:tc>
        <w:tc>
          <w:tcPr>
            <w:tcW w:type="dxa" w:w="2100"/>
          </w:tcPr>
          <w:p>
            <w:r>
              <w:rPr>
                <w:rFonts w:ascii="Arial" w:hAnsi="Arial"/>
                <w:b w:val="0"/>
                <w:i w:val="0"/>
                <w:color w:val="56657A"/>
                <w:sz w:val="17"/>
              </w:rPr>
              <w:t>[Complete]</w:t>
            </w:r>
          </w:p>
        </w:tc>
        <w:tc>
          <w:tcPr>
            <w:tcW w:type="dxa" w:w="1650"/>
          </w:tcPr>
          <w:p>
            <w:r>
              <w:rPr>
                <w:rFonts w:ascii="Arial" w:hAnsi="Arial"/>
                <w:b w:val="0"/>
                <w:i w:val="0"/>
                <w:color w:val="56657A"/>
                <w:sz w:val="17"/>
              </w:rPr>
              <w:t>[Complete]</w:t>
            </w:r>
          </w:p>
        </w:tc>
        <w:tc>
          <w:tcPr>
            <w:tcW w:type="dxa" w:w="1860"/>
          </w:tcPr>
          <w:p>
            <w:r>
              <w:rPr>
                <w:rFonts w:ascii="Arial" w:hAnsi="Arial"/>
                <w:b w:val="0"/>
                <w:i w:val="0"/>
                <w:color w:val="56657A"/>
                <w:sz w:val="17"/>
              </w:rPr>
              <w:t>[Complete]</w:t>
            </w:r>
          </w:p>
        </w:tc>
      </w:tr>
      <w:tr>
        <w:tc>
          <w:tcPr>
            <w:tcW w:type="dxa" w:w="1650"/>
          </w:tcPr>
          <w:p>
            <w:r>
              <w:rPr>
                <w:rFonts w:ascii="Arial" w:hAnsi="Arial"/>
                <w:b w:val="0"/>
                <w:i w:val="0"/>
                <w:color w:val="56657A"/>
                <w:sz w:val="17"/>
              </w:rPr>
              <w:t>[Complete]</w:t>
            </w:r>
          </w:p>
        </w:tc>
        <w:tc>
          <w:tcPr>
            <w:tcW w:type="dxa" w:w="2100"/>
          </w:tcPr>
          <w:p>
            <w:r>
              <w:rPr>
                <w:rFonts w:ascii="Arial" w:hAnsi="Arial"/>
                <w:b w:val="0"/>
                <w:i w:val="0"/>
                <w:color w:val="56657A"/>
                <w:sz w:val="17"/>
              </w:rPr>
              <w:t>[Complete]</w:t>
            </w:r>
          </w:p>
        </w:tc>
        <w:tc>
          <w:tcPr>
            <w:tcW w:type="dxa" w:w="2100"/>
          </w:tcPr>
          <w:p>
            <w:r>
              <w:rPr>
                <w:rFonts w:ascii="Arial" w:hAnsi="Arial"/>
                <w:b w:val="0"/>
                <w:i w:val="0"/>
                <w:color w:val="56657A"/>
                <w:sz w:val="17"/>
              </w:rPr>
              <w:t>[Complete]</w:t>
            </w:r>
          </w:p>
        </w:tc>
        <w:tc>
          <w:tcPr>
            <w:tcW w:type="dxa" w:w="1650"/>
          </w:tcPr>
          <w:p>
            <w:r>
              <w:rPr>
                <w:rFonts w:ascii="Arial" w:hAnsi="Arial"/>
                <w:b w:val="0"/>
                <w:i w:val="0"/>
                <w:color w:val="56657A"/>
                <w:sz w:val="17"/>
              </w:rPr>
              <w:t>[Complete]</w:t>
            </w:r>
          </w:p>
        </w:tc>
        <w:tc>
          <w:tcPr>
            <w:tcW w:type="dxa" w:w="1860"/>
          </w:tcPr>
          <w:p>
            <w:r>
              <w:rPr>
                <w:rFonts w:ascii="Arial" w:hAnsi="Arial"/>
                <w:b w:val="0"/>
                <w:i w:val="0"/>
                <w:color w:val="56657A"/>
                <w:sz w:val="17"/>
              </w:rPr>
              <w:t>[Complete]</w:t>
            </w:r>
          </w:p>
        </w:tc>
      </w:tr>
    </w:tbl>
    <w:p>
      <w:pPr>
        <w:pStyle w:val="Heading1"/>
        <w:keepNext/>
        <w:spacing w:before="360" w:after="160"/>
      </w:pPr>
      <w:r>
        <w:rPr>
          <w:rFonts w:ascii="Arial" w:hAnsi="Arial"/>
          <w:b/>
          <w:i w:val="0"/>
          <w:color w:val="2374E7"/>
          <w:sz w:val="32"/>
        </w:rPr>
        <w:t>Authoritative starting points</w:t>
      </w:r>
    </w:p>
    <w:p>
      <w:pPr>
        <w:spacing w:after="120" w:line="300" w:lineRule="auto"/>
      </w:pPr>
      <w:r>
        <w:rPr>
          <w:rFonts w:ascii="Arial" w:hAnsi="Arial"/>
          <w:b w:val="0"/>
          <w:i w:val="0"/>
          <w:color w:val="132238"/>
          <w:sz w:val="22"/>
        </w:rPr>
        <w:t>Use current official sources and local counsel. These links are starting points, not a complete legal analysis:</w:t>
      </w:r>
    </w:p>
    <w:p>
      <w:pPr>
        <w:pStyle w:val="ListBullet"/>
        <w:spacing w:after="80" w:line="300" w:lineRule="auto"/>
      </w:pPr>
      <w:r>
        <w:rPr>
          <w:rFonts w:ascii="Arial" w:hAnsi="Arial"/>
          <w:b w:val="0"/>
          <w:i w:val="0"/>
          <w:color w:val="132238"/>
          <w:sz w:val="22"/>
        </w:rPr>
        <w:t>UK Information Commissioner's Office - Data protection and monitoring workers: https://ico.org.uk/for-organisations/uk-gdpr-guidance-and-resources/employment/monitoring-workers/data-protection-and-monitoring-workers/</w:t>
      </w:r>
    </w:p>
    <w:p>
      <w:pPr>
        <w:pStyle w:val="ListBullet"/>
        <w:spacing w:after="80" w:line="300" w:lineRule="auto"/>
      </w:pPr>
      <w:r>
        <w:rPr>
          <w:rFonts w:ascii="Arial" w:hAnsi="Arial"/>
          <w:b w:val="0"/>
          <w:i w:val="0"/>
          <w:color w:val="132238"/>
          <w:sz w:val="22"/>
        </w:rPr>
        <w:t>UK Information Commissioner's Office - Specific monitoring methods: https://ico.org.uk/for-organisations/uk-gdpr-guidance-and-resources/employment/monitoring-workers/specific-data-protection-considerations-for-different-ways-or-methods-of-monitoring-workers/</w:t>
      </w:r>
    </w:p>
    <w:p>
      <w:pPr>
        <w:pStyle w:val="ListBullet"/>
        <w:spacing w:after="80" w:line="300" w:lineRule="auto"/>
      </w:pPr>
      <w:r>
        <w:rPr>
          <w:rFonts w:ascii="Arial" w:hAnsi="Arial"/>
          <w:b w:val="0"/>
          <w:i w:val="0"/>
          <w:color w:val="132238"/>
          <w:sz w:val="22"/>
        </w:rPr>
        <w:t>Government of India - Digital Personal Data Protection Act, 2023: https://www.meity.gov.in/static/uploads/2024/02/Digital-Personal-Data-Protection-Act-2023.pdf</w:t>
      </w:r>
    </w:p>
    <w:p>
      <w:pPr>
        <w:pStyle w:val="ListBullet"/>
        <w:spacing w:after="80" w:line="300" w:lineRule="auto"/>
      </w:pPr>
      <w:r>
        <w:rPr>
          <w:rFonts w:ascii="Arial" w:hAnsi="Arial"/>
          <w:b w:val="0"/>
          <w:i w:val="0"/>
          <w:color w:val="132238"/>
          <w:sz w:val="22"/>
        </w:rPr>
        <w:t>Government of India - Digital Personal Data Protection Rules, 2025: https://www.meity.gov.in/documents/act-and-policies/digital-personal-data-protection-rules-2025-gDOxUjMtQWa</w:t>
      </w:r>
    </w:p>
    <w:p>
      <w:pPr>
        <w:spacing w:after="120" w:line="300" w:lineRule="auto"/>
      </w:pPr>
      <w:r>
        <w:rPr>
          <w:rFonts w:ascii="Arial" w:hAnsi="Arial"/>
          <w:b/>
          <w:i w:val="0"/>
          <w:color w:val="132238"/>
          <w:sz w:val="22"/>
        </w:rPr>
        <w:t>Prepared by Backlsh</w:t>
      </w:r>
      <w:r>
        <w:rPr>
          <w:rFonts w:ascii="Arial" w:hAnsi="Arial"/>
          <w:b w:val="0"/>
          <w:i w:val="0"/>
          <w:color w:val="132238"/>
          <w:sz w:val="22"/>
        </w:rPr>
        <w:t xml:space="preserve"> | https://backlsh.com/ | Template version 1.0 | 1 September 2026</w:t>
      </w:r>
    </w:p>
    <w:sectPr w:rsidR="00FC693F" w:rsidRPr="0006063C" w:rsidSect="00034616">
      <w:pgSz w:w="12240" w:h="15840"/>
      <w:pgMar w:top="1080" w:right="1224" w:bottom="1080"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56657A"/>
        <w:sz w:val="16"/>
      </w:rPr>
      <w:t>General information only - obtain jurisdiction-specific legal review before use | backlsh.com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56657A"/>
        <w:sz w:val="17"/>
      </w:rPr>
      <w:t>BACKLSH | FREE EDITABLE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rial" w:hAnsi="Arial"/>
      <w:color w:val="1322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2374E7"/>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45CC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3223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Monitoring Policy Template</dc:title>
  <dc:subject>Editable transparent employee monitoring policy template</dc:subject>
  <dc:creator>Backlsh</dc:creator>
  <cp:keywords>employee monitoring policy template, workplace monitoring policy, transparent monitoring</cp:keywords>
  <dc:description>generated by python-docx</dc:description>
  <cp:lastModifiedBy/>
  <cp:revision>1</cp:revision>
  <dcterms:created xsi:type="dcterms:W3CDTF">2013-12-23T23:15:00Z</dcterms:created>
  <dcterms:modified xsi:type="dcterms:W3CDTF">2013-12-23T23:15:00Z</dcterms:modified>
  <cp:category/>
</cp:coreProperties>
</file>